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22/6/25</w:t>
      </w:r>
    </w:p>
    <w:p w:rsidR="00000000" w:rsidDel="00000000" w:rsidP="00000000" w:rsidRDefault="00000000" w:rsidRPr="00000000" w14:paraId="00000002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רשימת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ספרים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לכיתות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יא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הלימודים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ו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הסטוריה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0" w:line="240" w:lineRule="auto"/>
        <w:ind w:left="528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מסעות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משלום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למלחמה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ושואה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2 .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מסעות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בונים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במזרח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התיכון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שהבגרות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פתוחים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בפורמט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קשיח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מקוון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ספרות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מקראה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דיגיטלית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ליון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בוקס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קלאסוס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מילה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נגיס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אייטמטוב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קשיח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אזרחות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אזרחים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ודמוקרטית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בשבילי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הטקסט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קורן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נשר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שרעבי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ונגה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גנאל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 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מחשבת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לימודים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מורחבים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פרקים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לרמב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'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line="240" w:lineRule="auto"/>
        <w:ind w:left="1044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והרע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בהגות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אנגלית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:   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דוברים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Merchant of Venice by Shakespeare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Bagrut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Gateway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Exam practice for module G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Perfecting module E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Gateway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bqf0nmopbovm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Perfecting module E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ig6ed0lrl09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Of Mice and Men by John Steinbeck</w:t>
      </w:r>
      <w:r w:rsidDel="00000000" w:rsidR="00000000" w:rsidRPr="00000000">
        <w:rPr>
          <w:rFonts w:ascii="Arial" w:cs="Arial" w:eastAsia="Arial" w:hAnsi="Arial"/>
          <w:b w:val="1"/>
          <w:color w:val="00ff00"/>
          <w:sz w:val="24"/>
          <w:szCs w:val="24"/>
          <w:highlight w:val="green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ff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/5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bagrut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Gateway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Perfecting module E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Wave by Todd Strasser 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3/4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Mastering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Modules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- 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סדרת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אולימפוס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  <w:tab/>
        <w:tab/>
        <w:t xml:space="preserve">       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–  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סדרת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אולימפוס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ג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         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– 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4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- 5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571 -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ארכימדס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הדורת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2023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– 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חולצה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כחולה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לוגו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לרכישה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בחנויות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קולב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מושב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אורה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קניון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אפ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טאון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למגמות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קולנוע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 1.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כונן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500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  - 1000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(1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טרה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 2.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אוזניות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המיועדות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לעריכה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מחשב</w:t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3.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מצלמת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המצלמה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ינתנו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סרטים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 /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לואיס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האוניברסיטה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הפתוחה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פנס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הקסם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/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ענר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פרמינגר</w:t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תאטרון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לשנה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ind w:left="78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מחול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1"/>
        </w:rPr>
        <w:t xml:space="preserve">לבנות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ורודות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מעור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סוליה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מפוצלת</w:t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בגד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ריקוד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שרוול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ורוד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בכף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לבלט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קלאסי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), </w:t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שקוף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C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סיכות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קליפסים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ורשת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לשיער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לבעלות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1"/>
        </w:rPr>
        <w:t xml:space="preserve">לבנים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רגל</w:t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לבנה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+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שחורה</w:t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שחורות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אמנות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מרוכזת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אמנות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שתשרתנה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הבגרות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בכיתה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- 100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המרוכזת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בהתניה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שלפחות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מחצית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הכיתה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תרכוש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להדפיס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החוברת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44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28" w:hanging="360"/>
      </w:pPr>
      <w:rPr/>
    </w:lvl>
    <w:lvl w:ilvl="1">
      <w:start w:val="1"/>
      <w:numFmt w:val="lowerLetter"/>
      <w:lvlText w:val="%2."/>
      <w:lvlJc w:val="left"/>
      <w:pPr>
        <w:ind w:left="1248" w:hanging="360"/>
      </w:pPr>
      <w:rPr/>
    </w:lvl>
    <w:lvl w:ilvl="2">
      <w:start w:val="1"/>
      <w:numFmt w:val="lowerRoman"/>
      <w:lvlText w:val="%3."/>
      <w:lvlJc w:val="right"/>
      <w:pPr>
        <w:ind w:left="1968" w:hanging="180"/>
      </w:pPr>
      <w:rPr/>
    </w:lvl>
    <w:lvl w:ilvl="3">
      <w:start w:val="1"/>
      <w:numFmt w:val="decimal"/>
      <w:lvlText w:val="%4."/>
      <w:lvlJc w:val="left"/>
      <w:pPr>
        <w:ind w:left="2688" w:hanging="360"/>
      </w:pPr>
      <w:rPr/>
    </w:lvl>
    <w:lvl w:ilvl="4">
      <w:start w:val="1"/>
      <w:numFmt w:val="lowerLetter"/>
      <w:lvlText w:val="%5."/>
      <w:lvlJc w:val="left"/>
      <w:pPr>
        <w:ind w:left="3408" w:hanging="360"/>
      </w:pPr>
      <w:rPr/>
    </w:lvl>
    <w:lvl w:ilvl="5">
      <w:start w:val="1"/>
      <w:numFmt w:val="lowerRoman"/>
      <w:lvlText w:val="%6."/>
      <w:lvlJc w:val="right"/>
      <w:pPr>
        <w:ind w:left="4128" w:hanging="180"/>
      </w:pPr>
      <w:rPr/>
    </w:lvl>
    <w:lvl w:ilvl="6">
      <w:start w:val="1"/>
      <w:numFmt w:val="decimal"/>
      <w:lvlText w:val="%7."/>
      <w:lvlJc w:val="left"/>
      <w:pPr>
        <w:ind w:left="4848" w:hanging="360"/>
      </w:pPr>
      <w:rPr/>
    </w:lvl>
    <w:lvl w:ilvl="7">
      <w:start w:val="1"/>
      <w:numFmt w:val="lowerLetter"/>
      <w:lvlText w:val="%8."/>
      <w:lvlJc w:val="left"/>
      <w:pPr>
        <w:ind w:left="5568" w:hanging="360"/>
      </w:pPr>
      <w:rPr/>
    </w:lvl>
    <w:lvl w:ilvl="8">
      <w:start w:val="1"/>
      <w:numFmt w:val="lowerRoman"/>
      <w:lvlText w:val="%9."/>
      <w:lvlJc w:val="right"/>
      <w:pPr>
        <w:ind w:left="628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51A44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YtpmKIBl8xdWBYk9sVtSUBAwQ==">CgMxLjAyDmguYnFmMG5tb3Bib3ZtMg5oLmlnNmVkMGxybDA5bjgAciExcUlxLWVuWWQxUGEwQ19WelBmY1I2cUt2dHNDVFJNU08=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2024-06-16T08:04:00Z</dcterms:created>
  <dc:creator>LENOVO</dc:creator>
</cp:coreProperties>
</file>