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5" w:rsidRPr="007C49F3" w:rsidRDefault="00AD7EB5" w:rsidP="00AD7EB5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להלן רשימת ספרי הלימוד לשנה"ל תשפ"ב.</w:t>
      </w:r>
    </w:p>
    <w:p w:rsidR="00AD7EB5" w:rsidRPr="007C49F3" w:rsidRDefault="00AD7EB5" w:rsidP="00AD7EB5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שימו לב!</w:t>
      </w:r>
    </w:p>
    <w:p w:rsidR="00AD7EB5" w:rsidRPr="007C49F3" w:rsidRDefault="00AD7EB5" w:rsidP="00AD7EB5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טרם התפרסמו כלל הנתונים מטעם משרד החינוך, כך שאין באפשרותנו לסיים את תמחור הספרים להשאלה מקוונת.</w:t>
      </w:r>
    </w:p>
    <w:p w:rsidR="00AD7EB5" w:rsidRPr="007C49F3" w:rsidRDefault="00AD7EB5" w:rsidP="00AD7EB5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ביה"ס ימשיך לאפשר השאלת ספרים (מקוונת או קשיחים) – לכל מי שיחפוץ בכך.</w:t>
      </w:r>
    </w:p>
    <w:p w:rsidR="00AD7EB5" w:rsidRPr="007C49F3" w:rsidRDefault="00AD7EB5" w:rsidP="00AD7EB5">
      <w:pPr>
        <w:rPr>
          <w:b/>
          <w:bCs/>
          <w:sz w:val="24"/>
          <w:szCs w:val="24"/>
          <w:rtl/>
        </w:rPr>
      </w:pPr>
    </w:p>
    <w:p w:rsidR="00AD7EB5" w:rsidRPr="007C49F3" w:rsidRDefault="00AD7EB5" w:rsidP="00AD7EB5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לאור זאת, משפחות שמשוכנעות שהן רוצות לרכוש את הספרים בעותקים קשיחים בכוחות עצמן – מוזמנות לעשות זאת.</w:t>
      </w:r>
    </w:p>
    <w:p w:rsidR="00AD7EB5" w:rsidRDefault="00AD7EB5" w:rsidP="00AD7EB5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משפחות שטרם החליטו – ניתן ורצוי עוד להמתין.</w:t>
      </w:r>
    </w:p>
    <w:p w:rsidR="00AD7EB5" w:rsidRDefault="00AD7EB5" w:rsidP="00AD7EB5">
      <w:pPr>
        <w:rPr>
          <w:b/>
          <w:bCs/>
          <w:sz w:val="24"/>
          <w:szCs w:val="24"/>
          <w:rtl/>
        </w:rPr>
      </w:pPr>
    </w:p>
    <w:p w:rsidR="00AD7EB5" w:rsidRPr="00AD7EB5" w:rsidRDefault="00AD7EB5" w:rsidP="00AD7E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</w:pPr>
      <w:r w:rsidRPr="00AD7EB5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</w:t>
      </w:r>
      <w:proofErr w:type="spellStart"/>
      <w:r w:rsidRPr="00AD7EB5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>יב</w:t>
      </w:r>
      <w:proofErr w:type="spellEnd"/>
      <w:r w:rsidRPr="00AD7EB5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' לשנת הלימודים </w:t>
      </w:r>
      <w:r w:rsidRPr="00AD7EB5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תשפ"ב</w:t>
      </w:r>
    </w:p>
    <w:p w:rsidR="00AD7EB5" w:rsidRPr="00AD7EB5" w:rsidRDefault="00AD7EB5" w:rsidP="00AD7EB5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jc w:val="center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כל מי שנכנס לתכנית השאלת ספרים 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אין צורך לרכוש ספרים למעט תנ"ך, מילון ואטלס.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u w:val="single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תנ"ך 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–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ספר תנ"ך מלא ללא פירושים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– יש לשמור את המקראה משנה שעברה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AD7EB5" w:rsidRPr="00AD7EB5" w:rsidRDefault="00AD7EB5" w:rsidP="00AD7E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 w:hint="cs"/>
          <w:sz w:val="24"/>
          <w:szCs w:val="24"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proofErr w:type="spellStart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הרומאן</w:t>
      </w:r>
      <w:proofErr w:type="spellEnd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"הר אדוני"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ארי דה לוקה.</w:t>
      </w:r>
    </w:p>
    <w:p w:rsidR="00AD7EB5" w:rsidRPr="00AD7EB5" w:rsidRDefault="00AD7EB5" w:rsidP="00AD7E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ערבית מקצוע מורחב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-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יש לרכוש את הספר "פסוקי קוראן בעין הפרשן" בהוצאת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תוכניות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הלימודים,משרד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החינוך.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בנוסף,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יש</w:t>
      </w:r>
      <w:proofErr w:type="spellEnd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לרכוש ערבית </w:t>
      </w:r>
      <w:proofErr w:type="spellStart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סיפרותית</w:t>
      </w:r>
      <w:proofErr w:type="spellEnd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בכיף חלק שלישי מאת דן שובל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**נא לשמור את ספרי הלימוד של כיתה י' ושל כיתה יא'!!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לשון 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"בשבילי הטקסט", קורן נשר שרעבי ונגה </w:t>
      </w:r>
      <w:proofErr w:type="spellStart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גנאל</w:t>
      </w:r>
      <w:proofErr w:type="spellEnd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, שרי הוצאה לאור. 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מחשבת ישראל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מקצוע מורחב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shd w:val="clear" w:color="auto" w:fill="FFFFFF"/>
          <w:rtl/>
          <w:lang w:eastAsia="zh-CN"/>
        </w:rPr>
        <w:t xml:space="preserve"> </w:t>
      </w:r>
      <w:r w:rsidRPr="00AD7EB5">
        <w:rPr>
          <w:rFonts w:ascii="Arial" w:eastAsia="Times New Roman" w:hAnsi="Arial" w:cs="David" w:hint="cs"/>
          <w:sz w:val="24"/>
          <w:szCs w:val="24"/>
          <w:shd w:val="clear" w:color="auto" w:fill="FFFFFF"/>
          <w:rtl/>
          <w:lang w:eastAsia="zh-CN"/>
        </w:rPr>
        <w:t xml:space="preserve"> "מש</w:t>
      </w:r>
      <w:r w:rsidRPr="00AD7EB5">
        <w:rPr>
          <w:rFonts w:ascii="Arial" w:eastAsia="Times New Roman" w:hAnsi="Arial" w:cs="David"/>
          <w:sz w:val="24"/>
          <w:szCs w:val="24"/>
          <w:shd w:val="clear" w:color="auto" w:fill="FFFFFF"/>
          <w:rtl/>
          <w:lang w:eastAsia="zh-CN"/>
        </w:rPr>
        <w:t>בר האמונה בעת החדשה", הוצאת משרד החינוך</w:t>
      </w:r>
      <w:r w:rsidRPr="00AD7EB5">
        <w:rPr>
          <w:rFonts w:ascii="Arial" w:eastAsia="Times New Roman" w:hAnsi="Arial" w:cs="David"/>
          <w:b/>
          <w:bCs/>
          <w:sz w:val="24"/>
          <w:szCs w:val="24"/>
          <w:shd w:val="clear" w:color="auto" w:fill="FFFFFF"/>
          <w:lang w:eastAsia="zh-CN"/>
        </w:rPr>
        <w:t>.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                                 "את שאהבה נפשי" 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–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"ביג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שופ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jc w:val="right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</w:t>
      </w: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תמטיקה 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תלמידי 3 יחידות לימוד   -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מתמטיקה שאלון 802 – 3 יחידות לימוד – יואל גבע וריקי טל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תלמידי 4 יח' לימוד –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א. "מתמטיקה 4 יחידות לימוד חלק ג' שאלון 035805" –בני   גורן                                                                                                                                       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ב. ארכימדס - הכנה לבחינות הבגרות במתמטיקה שאלון 805 על פי  תכנית ההבחנות החדשה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       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תלמידי 5 יח' לימוד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בני גורן שאלון 807 חלקים ג1+ג2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ארכימדס שאלון 582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אנגלית: - </w:t>
      </w:r>
      <w:bookmarkStart w:id="0" w:name="_GoBack"/>
      <w:bookmarkEnd w:id="0"/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lastRenderedPageBreak/>
        <w:t>5 יחידות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: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proofErr w:type="spellStart"/>
      <w:r w:rsidRPr="00AD7EB5">
        <w:rPr>
          <w:rFonts w:ascii="Arial" w:eastAsia="Times New Roman" w:hAnsi="Arial" w:cs="David"/>
          <w:sz w:val="24"/>
          <w:szCs w:val="24"/>
          <w:lang w:eastAsia="zh-CN"/>
        </w:rPr>
        <w:t>Bagrut</w:t>
      </w:r>
      <w:proofErr w:type="spellEnd"/>
      <w:r w:rsidRPr="00AD7EB5">
        <w:rPr>
          <w:rFonts w:ascii="Arial" w:eastAsia="Times New Roman" w:hAnsi="Arial" w:cs="David"/>
          <w:sz w:val="24"/>
          <w:szCs w:val="24"/>
          <w:lang w:eastAsia="zh-CN"/>
        </w:rPr>
        <w:t xml:space="preserve"> Plus + for Module </w:t>
      </w:r>
      <w:proofErr w:type="gramStart"/>
      <w:r w:rsidRPr="00AD7EB5">
        <w:rPr>
          <w:rFonts w:ascii="Arial" w:eastAsia="Times New Roman" w:hAnsi="Arial" w:cs="David"/>
          <w:sz w:val="24"/>
          <w:szCs w:val="24"/>
          <w:lang w:eastAsia="zh-CN"/>
        </w:rPr>
        <w:t>G  AEL</w:t>
      </w:r>
      <w:proofErr w:type="gramEnd"/>
      <w:r w:rsidRPr="00AD7EB5">
        <w:rPr>
          <w:rFonts w:ascii="Arial" w:eastAsia="Times New Roman" w:hAnsi="Arial" w:cs="David"/>
          <w:sz w:val="24"/>
          <w:szCs w:val="24"/>
          <w:lang w:eastAsia="zh-CN"/>
        </w:rPr>
        <w:t xml:space="preserve"> Publications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lang w:eastAsia="zh-CN"/>
        </w:rPr>
        <w:t>Exam Practice for Module G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4 יחידות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: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proofErr w:type="spellStart"/>
      <w:r w:rsidRPr="00AD7EB5">
        <w:rPr>
          <w:rFonts w:ascii="Arial" w:eastAsia="Times New Roman" w:hAnsi="Arial" w:cs="David"/>
          <w:sz w:val="24"/>
          <w:szCs w:val="24"/>
          <w:lang w:eastAsia="zh-CN"/>
        </w:rPr>
        <w:t>Bagrut</w:t>
      </w:r>
      <w:proofErr w:type="spellEnd"/>
      <w:r w:rsidRPr="00AD7EB5">
        <w:rPr>
          <w:rFonts w:ascii="Arial" w:eastAsia="Times New Roman" w:hAnsi="Arial" w:cs="David"/>
          <w:sz w:val="24"/>
          <w:szCs w:val="24"/>
          <w:lang w:eastAsia="zh-CN"/>
        </w:rPr>
        <w:t xml:space="preserve"> Plus + for Module E AEL Publications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lang w:eastAsia="zh-CN"/>
        </w:rPr>
        <w:t>Exam practice for Module E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ציוד למגמות: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קולנוע –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"מסך הקסם" –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ענר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פרמינגר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– הספר משנה שעברה.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תאטרון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-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רשימת הספרים לשנה הבאה תינתן רק בשבוע לפני תחילת שנת הלימודים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מחזות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מספריית ביה"ס.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AD7EB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מחול - לבנות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- נעלי בלט ורודות (מבד ולא מעור) עדיף סוליה מפוצלת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בגד ריקוד שחור (עדיף ללא שרוול)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טיץ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ורוד  רצוי עם פתח בכף רגל (לבלט קלאסי),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טיץ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שחור ללא כף רגל</w:t>
      </w:r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- (</w:t>
      </w:r>
      <w:proofErr w:type="spellStart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>טיץ</w:t>
      </w:r>
      <w:proofErr w:type="spellEnd"/>
      <w:r w:rsidRPr="00AD7EB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שחור שקוף דק)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סיכות, קליפסים ורשת לשיער (לבעלות שיער ארוך)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לבנים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טיץ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שחור ללא כף רגל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טי שרט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לבנה+טי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שרט שחורה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נעלי בלט שחורות (מבד)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- בתחילת השנה תעשה רכישה מרוכזת של 3 חוברות אמנות שתשרתנה את התלמידים עד הבגרות - עלות 3 החוברות יחד כ- 100 ש"ח סך </w:t>
      </w:r>
      <w:proofErr w:type="spellStart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הכל</w:t>
      </w:r>
      <w:proofErr w:type="spellEnd"/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. 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AD7EB5">
        <w:rPr>
          <w:rFonts w:ascii="Arial" w:eastAsia="Times New Roman" w:hAnsi="Arial" w:cs="David"/>
          <w:sz w:val="24"/>
          <w:szCs w:val="24"/>
          <w:rtl/>
          <w:lang w:eastAsia="zh-CN"/>
        </w:rPr>
        <w:t>הרכישה המרוכזת תעשה בהתניה שלפחות מחצית מן הכיתה תרכוש את החוברות. אחרת על התלמידים להדפיס את החוברת באופן עצמאי.</w:t>
      </w: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  <w:r w:rsidRPr="00AD7EB5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</w:p>
    <w:p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AD7EB5" w:rsidRPr="00AD7EB5" w:rsidRDefault="00AD7EB5" w:rsidP="00AD7EB5">
      <w:pPr>
        <w:spacing w:after="0" w:line="240" w:lineRule="auto"/>
        <w:ind w:left="360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AD7EB5" w:rsidRDefault="00AD7EB5" w:rsidP="00AD7EB5">
      <w:pPr>
        <w:rPr>
          <w:b/>
          <w:bCs/>
          <w:sz w:val="24"/>
          <w:szCs w:val="24"/>
          <w:rtl/>
        </w:rPr>
      </w:pPr>
    </w:p>
    <w:p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F36"/>
    <w:multiLevelType w:val="hybridMultilevel"/>
    <w:tmpl w:val="BBA68344"/>
    <w:lvl w:ilvl="0" w:tplc="391A0A0C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B5"/>
    <w:rsid w:val="008C65F7"/>
    <w:rsid w:val="00AD7EB5"/>
    <w:rsid w:val="00C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89718-A21B-4084-989C-971A776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2021-08-02T15:20:00Z</dcterms:created>
  <dcterms:modified xsi:type="dcterms:W3CDTF">2021-08-02T15:24:00Z</dcterms:modified>
</cp:coreProperties>
</file>