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עיון בשיר כאבי רב / אבן גבירול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עריכה מקוצרת של המאמר ע"י דבורה לוי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ד"ר מרים וינברגר, אוניברסיטת בר אילן, החוג להכשרת מורים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מטרות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א. בשיר הלירי כאבי רב המשורר פונה לאל בתחינה</w:t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t>לגאולה מייסורים מתוך הצהרת 'אני מאמין' באל. קבלת האוטוריטה האלוהית הופכת את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ה'אני השר' ל'עבד השם'. המשורר משתעבד לאל מתוך בחירה, ובכך הוא מקבל את שכרו -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שחרור מן הייסורים.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ב. הכרת הז'אנר הלירי של שירת ימי הביניים מבחינה </w:t>
      </w:r>
      <w:proofErr w:type="spellStart"/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רעיונית.</w:t>
      </w:r>
      <w:r w:rsidRPr="00F45F37">
        <w:rPr>
          <w:rFonts w:ascii="Arial" w:eastAsia="Times New Roman" w:hAnsi="Arial" w:cs="Arial"/>
          <w:sz w:val="24"/>
          <w:szCs w:val="24"/>
          <w:rtl/>
        </w:rPr>
        <w:t>המצוקה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קשורה לא בסבל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גופני בלבד, אלא גם במועקה נפשית, הנובעת מההכרה הדתית: אני סובל כי נענשתי; נענשתי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מכיוון שחטאתי. המצוקה כרוכה ברגשות אשמה דתיים.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ג. ‏1) היוודעות אל הפואטיקה של </w:t>
      </w:r>
      <w:proofErr w:type="spellStart"/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רשב"ג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, ששירתו נשמעת לתכתיבי הפואטיקה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בת זמנו, גם כאשר הנושא טעון אמוציות חזקות והשיר עשוי להיות שיר 'מתפרץ' 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. ‏2) חשיפת גרעין השיר, ומעקב אחר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המבנה יובילו להבנת הרעיון המתפתח בשיר.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עיון בשיר - כאבי רב</w:t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כאבי רב ומכתי אנושה/וכוחי סר ועצמותי חלושה,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ואין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מברח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ואין מנוס לנפשי/, ואין מקום תהי לי בו נפישה.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שלשה אספו עלי לכלות/ושאר גופי ורוחי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הענושה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: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גדל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עון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ורב מכאוב ופרוד - /ומי יוכל עמד לפני שלשה?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lastRenderedPageBreak/>
        <w:t xml:space="preserve">הים אני ואם תנין,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אלהי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/, וכי ברזל עצמי או נחושה?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אשר כל עת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יסבוני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תלאות/, כאלו הם מסורים לי ירשה,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ותדרש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לעוני רק, כאלו/לך אין על בני אדם דרישה!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ראה נא בעמל עבדך ועניו/וכי נפשו כמו דאה יקושה -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ואהיה לך לעולמים לעבד/ולא אשאל עדי נצח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חפישה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בשיר שתי חטיבות עיקריות - הראשונה: עד למלה "אלוהי" והשנייה: ממלה זו עד לסיום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השיר. חלוקת השיר לחטיבות חושפת את הצלע התשיעית כצלע המרכזית בשיר: "הים אני ואם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תנין, אלוהי". מלת הפנייה "אלוהי" בכינוי קניין חבור - ולא 'אלוהים' - מעידה לא רק על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פנייה לאלוקים, אלא גם על הרגשת קרבה לאל. הפנייה לאל מצויה אפוא במוקד השיר: תשע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צלעות לפניה - תשע צלעות אחריה. אלוהים הוא נמענו של שיר הייסורים שלפנינו. ואכן,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שירמן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הכתיר את השיר בכותרת: שלושה ייסורים. נבדוק את המאפיינים של חטיבה א' -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תיאור ייסוריו של המשורר. נוכל למיין את תלונות המשורר על פי טיבם -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סבל גופני וסבל נפשי. החזרות על המלה "אין" מעידות על תחושת החנק המתעצמת.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למבנה העומק של השיר, החושף תבנית חזרה משולשת לכל אחת מן התופעות של המצוקה, יש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פירוט משולש: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טור א: תיאור הסבל -</w:t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.1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t>סבל פיסי - "כאבי רב", "מכתי אנושה", "עצמותי חלושה".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</w:rPr>
        <w:t>.2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t xml:space="preserve">סבל נפשי - "אין מנוס", "אין </w:t>
      </w:r>
      <w:proofErr w:type="spellStart"/>
      <w:r w:rsidRPr="00F45F37">
        <w:rPr>
          <w:rFonts w:ascii="Arial" w:eastAsia="Times New Roman" w:hAnsi="Arial" w:cs="Arial" w:hint="cs"/>
          <w:sz w:val="24"/>
          <w:szCs w:val="24"/>
          <w:rtl/>
        </w:rPr>
        <w:t>מברח</w:t>
      </w:r>
      <w:proofErr w:type="spellEnd"/>
      <w:r w:rsidRPr="00F45F37">
        <w:rPr>
          <w:rFonts w:ascii="Arial" w:eastAsia="Times New Roman" w:hAnsi="Arial" w:cs="Arial" w:hint="cs"/>
          <w:sz w:val="24"/>
          <w:szCs w:val="24"/>
          <w:rtl/>
        </w:rPr>
        <w:t>", "אין מקום": אין לי לאן להימלט מסבלי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  <w:t>אלא אל הקב"ה.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.3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t>חרדת מוות - "שלושה אוספו עלי לכלות": המשורר ממולכד וחנוק מפחד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  <w:t>הכיליון.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lastRenderedPageBreak/>
        <w:t>טור ב: סיבות הסבל -</w:t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.1</w:t>
      </w:r>
      <w:r w:rsidRPr="00F45F37">
        <w:rPr>
          <w:rFonts w:ascii="Arial" w:eastAsia="Times New Roman" w:hAnsi="Arial" w:cs="Arial"/>
          <w:sz w:val="24"/>
          <w:szCs w:val="24"/>
          <w:rtl/>
        </w:rPr>
        <w:t>סבל רוחני - "גדול עוון": תחושת החטא של המאמין היהודי.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.2</w:t>
      </w:r>
      <w:r w:rsidRPr="00F45F37">
        <w:rPr>
          <w:rFonts w:ascii="Arial" w:eastAsia="Times New Roman" w:hAnsi="Arial" w:cs="Arial"/>
          <w:sz w:val="24"/>
          <w:szCs w:val="24"/>
          <w:rtl/>
        </w:rPr>
        <w:t>סבל גופני - "רוב מכאוב": חולי, חולשה, תחושת כיליון, סופניות.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.3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t>סבל חברתי נפשי - פירוד: העדר משפחה וערירות </w:t>
      </w:r>
      <w:hyperlink r:id="rId4" w:anchor="fn1 #fn1" w:history="1">
        <w:r w:rsidRPr="00F45F37">
          <w:rPr>
            <w:rFonts w:ascii="Arial" w:eastAsia="Times New Roman" w:hAnsi="Arial" w:cs="Arial" w:hint="cs"/>
            <w:sz w:val="24"/>
            <w:szCs w:val="24"/>
            <w:rtl/>
          </w:rPr>
          <w:t>‏1</w:t>
        </w:r>
      </w:hyperlink>
      <w:r w:rsidRPr="00F45F37">
        <w:rPr>
          <w:rFonts w:ascii="Arial" w:eastAsia="Times New Roman" w:hAnsi="Arial" w:cs="Arial" w:hint="cs"/>
          <w:sz w:val="24"/>
          <w:szCs w:val="24"/>
          <w:rtl/>
        </w:rPr>
        <w:t>, העדר חברה בשל ניתוק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  <w:t>מרצון או מאונס והיבדלות חברתית - גורמים ליתר התמסרות לכאב.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תחושת המלכוד מעצמת בחלק ב' של השיר באמצעות דימוי. בבית ‏8, בסוגר, נאמר: "וכי נפשו כמו דאה יקושה" (על פי ויקרא יא, יד). דאה יקושה = ציפור במוקש, בכלוב. כך חש עצמו המשורר כלוא בכלא ייסוריו, כאשר מכל עבר "שלושה אוספו עלי לכלות שאר גופי ורוחי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הענושה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".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טור ג: התוצאה -</w:t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אין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מברח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- אין לאן לברוח (בריחה מתוכננת, מאורגנת).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אין מנוס - אין לאן לנוס (מנוסה מבוהלת, חפוזה).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אין מקום - גם במקום שיישאר בו, אין לו מקום, כי ייסוריו יכלוהו ויענוהו.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אין לו מקום - לא בעולם החיצוני ולא בתוך גופו.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נעיין בפניית המשורר לאל, המנוסחת בתבנית של שאלה רטורית: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"הים אני ואם תנין, אלוהי, / וכי ברזל עצמי או נחושה?" זוהי פנייה אירונית.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השיבוצים </w:t>
      </w:r>
      <w:hyperlink r:id="rId5" w:anchor="fn3 #fn3" w:history="1">
        <w:r w:rsidRPr="00F45F37">
          <w:rPr>
            <w:rFonts w:ascii="Arial" w:eastAsia="Times New Roman" w:hAnsi="Arial" w:cs="Arial"/>
            <w:sz w:val="24"/>
            <w:szCs w:val="24"/>
            <w:rtl/>
          </w:rPr>
          <w:t>‏3</w:t>
        </w:r>
      </w:hyperlink>
      <w:r w:rsidRPr="00F45F37">
        <w:rPr>
          <w:rFonts w:ascii="Arial" w:eastAsia="Times New Roman" w:hAnsi="Arial" w:cs="Arial"/>
          <w:sz w:val="24"/>
          <w:szCs w:val="24"/>
          <w:rtl/>
        </w:rPr>
        <w:t xml:space="preserve">מאיוב אינם מקריים.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הרשב"ג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, המדמה עצמו לצדיק סובל שלא חטא, מבקש לבוא חשבון עם אלוהיו. מרכיבי המטפורות: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וכי ברזל אני או נחושה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 xml:space="preserve">על פי איוב ו,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יב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: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 xml:space="preserve">"אם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כח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אבנים כחי אם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בשרי נחוש".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lastRenderedPageBreak/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הים אני ואם תנין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 xml:space="preserve">על-פי איוב ז,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יב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: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"הים אני, אם תנין כי תשים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עלי משמר?"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א. ננתח את מטפורת הים בשיר:</w:t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.1</w:t>
      </w:r>
      <w:r w:rsidRPr="00F45F37">
        <w:rPr>
          <w:rFonts w:ascii="Arial" w:eastAsia="Times New Roman" w:hAnsi="Arial" w:cs="Arial"/>
          <w:sz w:val="24"/>
          <w:szCs w:val="24"/>
          <w:rtl/>
        </w:rPr>
        <w:t>סמל למרחבים, לעצמה דינמית.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.2</w:t>
      </w:r>
      <w:r w:rsidRPr="00F45F37">
        <w:rPr>
          <w:rFonts w:ascii="Arial" w:eastAsia="Times New Roman" w:hAnsi="Arial" w:cs="Arial"/>
          <w:sz w:val="24"/>
          <w:szCs w:val="24"/>
          <w:rtl/>
        </w:rPr>
        <w:t>סמל לאין סופיות.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.3</w:t>
      </w:r>
      <w:r w:rsidRPr="00F45F37">
        <w:rPr>
          <w:rFonts w:ascii="Arial" w:eastAsia="Times New Roman" w:hAnsi="Arial" w:cs="Arial"/>
          <w:sz w:val="24"/>
          <w:szCs w:val="24"/>
          <w:rtl/>
        </w:rPr>
        <w:t>סמל לגדולת איתני הטבע - בניגוד לחולשת האדם ולאפסותו.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ב. נדון במשמעות המטפורה 'ברזל עצמי'. ברור וניכר לעין כי השימוש ב'חומר' הברזל,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מציין קשיחות ועמידות.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‏1. נברר, מדוע בוחר המשורר של ספר איוב, ובעקבותיו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רשב"ג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, בשתי מטפורות אלו דווקא?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ניתן את הדעת לכך, שיש ניגוד ביניהן: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t>ברזל- קשיחות, עמידות, סטטיות- ניגוד למצבו הגופני - "עצמותי חלושה"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</w:rPr>
        <w:t>          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ים- אינסוף, מרחב, נצחיות, דינמיות- ניגוד למצבו הנפשי הלחוץ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                                                                     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מגמת השימוש במטפורות - הים והברזל - היא ליצור ניגוד. זוהי אפוא אנלוגיה ניגודית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 xml:space="preserve">למצבו של המשורר. בניגוד לים האינסופי והדינמי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רשב"ג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חש את כיליונו, חרד מפני מותו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הקרב וכלוא בכלוב חונק של מצוקות גוף ונפש. בניגוד לברזל הקשיח והעמיד גופו האכול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מחלת עור ממארת מתפורר ונחלש, וחוסר האונים משתלט על כל הווייתו הגופנית והנפשית.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6" w:anchor="fn4 #fn4" w:history="1">
        <w:r w:rsidRPr="00F45F37">
          <w:rPr>
            <w:rFonts w:ascii="Arial" w:eastAsia="Times New Roman" w:hAnsi="Arial" w:cs="Arial"/>
            <w:sz w:val="24"/>
            <w:szCs w:val="24"/>
            <w:rtl/>
          </w:rPr>
          <w:t>‏4</w:t>
        </w:r>
      </w:hyperlink>
      <w:r w:rsidRPr="00F45F37">
        <w:rPr>
          <w:rFonts w:ascii="Arial" w:eastAsia="Times New Roman" w:hAnsi="Arial" w:cs="Arial"/>
          <w:sz w:val="24"/>
          <w:szCs w:val="24"/>
          <w:rtl/>
        </w:rPr>
        <w:br/>
        <w:t>לפנינו אפוא תיאור של נפש חולה בגוף מיוסר.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lastRenderedPageBreak/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‏2. מהו המוצא? פנייה לאל, אולי הוא יושיע במקום שכשלו רופאים, במקום שנטשו ידידים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והותירו אדם ערירי. חכמתו הפילוסופית, גדולתו השירית ואמונתו הדתית - אלה בלבד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עומדים לו עדיין ומחזקים אותו בייסוריו.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t>בפנייה לאל נחשפות כמה נימות:</w:t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b/>
          <w:bCs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נימה אירונית: "ותדרוש לעווני רק כאלו לך אין על בני אדם דרישה". האגוצנטריות של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האדם הסובל אינה מאפשרת לו לראות ראייה אובייקטיבית, שקולה, את מצבו ואת המציאות.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לכאורה, הוא היחיד מבין הצדיקים שמהם נפרע הקדוש ברוך הוא בענישתו החמורה.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התבוננות לעומק סותרת ראייה זו.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t>נימת בקשה ותחינה: "ראה נא בעמל עבדך ועניו / וכי נפשו כמו דאה יקושה". מופיעה מלת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התחינה "נא", והמשורר מגדיר עצמו כ'עבד ה'. מניסוחים אלה מתבהרת עמדה כנועה יותר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כלפי האל - השפלה עצמית מול גדולת האל מלווה בנימה של תחינה.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t xml:space="preserve">נימה של מיקוח: "ואהיה לך לעולמים לעבד / ולא אשאל עדי נצח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חפישה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". המשורר מבקש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לכרות ברית, חוזה, עם האל מעמדה של מתמקח - אם תגאלני מייסורי, אהיה עבדך לעולמים;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 xml:space="preserve">במחיר שחרורי מכלא המצוקה אשעבד לך את גופי ואת רוחי "ולא אשאל עדי נצח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חפישה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".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עבדות זו תהיה עבדות עולמים - גופי, כל עוד רוחי בקרבי, ונפשי - שלך לעולמי עד.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 xml:space="preserve">בהשתעבדות מרצון לאל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רשב"ג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מביע גם תקווה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למרוק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מייסורים ולשחרור מכלאה של "הדאה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היקושה". </w:t>
      </w:r>
      <w:r w:rsidRPr="00F45F37">
        <w:rPr>
          <w:rFonts w:ascii="Arial" w:eastAsia="Times New Roman" w:hAnsi="Arial" w:cs="Arial"/>
          <w:sz w:val="24"/>
          <w:szCs w:val="24"/>
          <w:rtl/>
        </w:rPr>
        <w:fldChar w:fldCharType="begin"/>
      </w:r>
      <w:r w:rsidRPr="00F45F37">
        <w:rPr>
          <w:rFonts w:ascii="Arial" w:eastAsia="Times New Roman" w:hAnsi="Arial" w:cs="Arial"/>
          <w:sz w:val="24"/>
          <w:szCs w:val="24"/>
          <w:rtl/>
        </w:rPr>
        <w:instrText xml:space="preserve"> </w:instrText>
      </w:r>
      <w:r w:rsidRPr="00F45F37">
        <w:rPr>
          <w:rFonts w:ascii="Arial" w:eastAsia="Times New Roman" w:hAnsi="Arial" w:cs="Arial"/>
          <w:sz w:val="24"/>
          <w:szCs w:val="24"/>
        </w:rPr>
        <w:instrText>HYPERLINK "http://www.education.gov.il/tochniyot_Limudim/sifrut/asi13008.htm" \l "fn5 #fn5</w:instrText>
      </w:r>
      <w:r w:rsidRPr="00F45F37">
        <w:rPr>
          <w:rFonts w:ascii="Arial" w:eastAsia="Times New Roman" w:hAnsi="Arial" w:cs="Arial"/>
          <w:sz w:val="24"/>
          <w:szCs w:val="24"/>
          <w:rtl/>
        </w:rPr>
        <w:instrText xml:space="preserve">" </w:instrText>
      </w:r>
      <w:r w:rsidRPr="00F45F37">
        <w:rPr>
          <w:rFonts w:ascii="Arial" w:eastAsia="Times New Roman" w:hAnsi="Arial" w:cs="Arial"/>
          <w:sz w:val="24"/>
          <w:szCs w:val="24"/>
          <w:rtl/>
        </w:rPr>
        <w:fldChar w:fldCharType="separate"/>
      </w:r>
      <w:r w:rsidRPr="00F45F37">
        <w:rPr>
          <w:rFonts w:ascii="Arial" w:eastAsia="Times New Roman" w:hAnsi="Arial" w:cs="Arial"/>
          <w:sz w:val="24"/>
          <w:szCs w:val="24"/>
          <w:rtl/>
        </w:rPr>
        <w:t>‏5</w:t>
      </w:r>
      <w:r w:rsidRPr="00F45F37">
        <w:rPr>
          <w:rFonts w:ascii="Arial" w:eastAsia="Times New Roman" w:hAnsi="Arial" w:cs="Arial"/>
          <w:sz w:val="24"/>
          <w:szCs w:val="24"/>
          <w:rtl/>
        </w:rPr>
        <w:fldChar w:fldCharType="end"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לסיכום: השיר מתחלק לשניים. מוקדו הוא הנמען האלוהי. בחלק א' - תינוי הסבל ובחלק ב'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- בקשת הישועה.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רשימת פסוקים מקראיים המשובצים בשיר כאבי רב (על פי י' דוד):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lastRenderedPageBreak/>
        <w:t>.1</w:t>
      </w:r>
      <w:r w:rsidRPr="00F45F37">
        <w:rPr>
          <w:rFonts w:ascii="Arial" w:eastAsia="Times New Roman" w:hAnsi="Arial" w:cs="Arial"/>
          <w:sz w:val="24"/>
          <w:szCs w:val="24"/>
          <w:rtl/>
        </w:rPr>
        <w:t>"כאבי רב ומכתי אנושה" על פי ירמיהו ט"ו 18.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.2</w:t>
      </w:r>
      <w:r w:rsidRPr="00F45F37">
        <w:rPr>
          <w:rFonts w:ascii="Arial" w:eastAsia="Times New Roman" w:hAnsi="Arial" w:cs="Arial"/>
          <w:sz w:val="24"/>
          <w:szCs w:val="24"/>
          <w:rtl/>
        </w:rPr>
        <w:t>"וכוחי סר" על פי שופטים ט"ז ‏17 ("וסר כוחי").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.3</w:t>
      </w:r>
      <w:r w:rsidRPr="00F45F37">
        <w:rPr>
          <w:rFonts w:ascii="Arial" w:eastAsia="Times New Roman" w:hAnsi="Arial" w:cs="Arial"/>
          <w:sz w:val="24"/>
          <w:szCs w:val="24"/>
          <w:rtl/>
        </w:rPr>
        <w:t>"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מברח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" - "מפלט" על פי יחזקאל י"ז 21.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.4</w:t>
      </w:r>
      <w:r w:rsidRPr="00F45F37">
        <w:rPr>
          <w:rFonts w:ascii="Arial" w:eastAsia="Times New Roman" w:hAnsi="Arial" w:cs="Arial"/>
          <w:sz w:val="24"/>
          <w:szCs w:val="24"/>
          <w:rtl/>
        </w:rPr>
        <w:t>"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הענושה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" על פי עמוס ב' </w:t>
      </w:r>
      <w:proofErr w:type="gramStart"/>
      <w:r w:rsidRPr="00F45F37">
        <w:rPr>
          <w:rFonts w:ascii="Arial" w:eastAsia="Times New Roman" w:hAnsi="Arial" w:cs="Arial"/>
          <w:sz w:val="24"/>
          <w:szCs w:val="24"/>
          <w:rtl/>
        </w:rPr>
        <w:t>8</w:t>
      </w:r>
      <w:proofErr w:type="gramEnd"/>
      <w:r w:rsidRPr="00F45F37">
        <w:rPr>
          <w:rFonts w:ascii="Arial" w:eastAsia="Times New Roman" w:hAnsi="Arial" w:cs="Arial"/>
          <w:sz w:val="24"/>
          <w:szCs w:val="24"/>
          <w:rtl/>
        </w:rPr>
        <w:t>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"הים אני ואם תנין", איוב ז' 12.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.5</w:t>
      </w:r>
      <w:r w:rsidRPr="00F45F37">
        <w:rPr>
          <w:rFonts w:ascii="Arial" w:eastAsia="Times New Roman" w:hAnsi="Arial" w:cs="Arial"/>
          <w:sz w:val="24"/>
          <w:szCs w:val="24"/>
          <w:rtl/>
        </w:rPr>
        <w:t>"אם בשרי נחוש", איוב ו' 12.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.6</w:t>
      </w:r>
      <w:r w:rsidRPr="00F45F37">
        <w:rPr>
          <w:rFonts w:ascii="Arial" w:eastAsia="Times New Roman" w:hAnsi="Arial" w:cs="Arial"/>
          <w:sz w:val="24"/>
          <w:szCs w:val="24"/>
          <w:rtl/>
        </w:rPr>
        <w:t>"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יסובוני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תלאות" על פי איכה ג' </w:t>
      </w:r>
      <w:proofErr w:type="gramStart"/>
      <w:r w:rsidRPr="00F45F37">
        <w:rPr>
          <w:rFonts w:ascii="Arial" w:eastAsia="Times New Roman" w:hAnsi="Arial" w:cs="Arial"/>
          <w:sz w:val="24"/>
          <w:szCs w:val="24"/>
          <w:rtl/>
        </w:rPr>
        <w:t>5</w:t>
      </w:r>
      <w:proofErr w:type="gramEnd"/>
      <w:r w:rsidRPr="00F45F37">
        <w:rPr>
          <w:rFonts w:ascii="Arial" w:eastAsia="Times New Roman" w:hAnsi="Arial" w:cs="Arial"/>
          <w:sz w:val="24"/>
          <w:szCs w:val="24"/>
          <w:rtl/>
        </w:rPr>
        <w:t>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.7</w:t>
      </w:r>
      <w:r w:rsidRPr="00F45F37">
        <w:rPr>
          <w:rFonts w:ascii="Arial" w:eastAsia="Times New Roman" w:hAnsi="Arial" w:cs="Arial"/>
          <w:sz w:val="24"/>
          <w:szCs w:val="24"/>
          <w:rtl/>
        </w:rPr>
        <w:t xml:space="preserve">"ותדרוש לעווני רק" על פי איוב י' </w:t>
      </w:r>
      <w:proofErr w:type="gramStart"/>
      <w:r w:rsidRPr="00F45F37">
        <w:rPr>
          <w:rFonts w:ascii="Arial" w:eastAsia="Times New Roman" w:hAnsi="Arial" w:cs="Arial"/>
          <w:sz w:val="24"/>
          <w:szCs w:val="24"/>
          <w:rtl/>
        </w:rPr>
        <w:t>6</w:t>
      </w:r>
      <w:proofErr w:type="gramEnd"/>
      <w:r w:rsidRPr="00F45F37">
        <w:rPr>
          <w:rFonts w:ascii="Arial" w:eastAsia="Times New Roman" w:hAnsi="Arial" w:cs="Arial"/>
          <w:sz w:val="24"/>
          <w:szCs w:val="24"/>
          <w:rtl/>
        </w:rPr>
        <w:t>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.8</w:t>
      </w:r>
      <w:r w:rsidRPr="00F45F37">
        <w:rPr>
          <w:rFonts w:ascii="Arial" w:eastAsia="Times New Roman" w:hAnsi="Arial" w:cs="Arial"/>
          <w:sz w:val="24"/>
          <w:szCs w:val="24"/>
          <w:rtl/>
        </w:rPr>
        <w:t>"דאה יקושה", משלי ו ‏5, ויקרא י"א 14.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לסיכום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התברר,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שרשב"ג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מאפיין בהגותו הפיוטית את טיפוס הפייטן הימיביניימי, שגם בשירתו האישית הוא מנהל דיאלוג עם אלוהיו. בשיר הכאב - הוא מבקש שחרור, מרפא וגאולה אישית. בורא העולם הוא היחידי שאליו ניתן לפנות בבקשה לשינוי מצבו הסופני.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ביבליוגרפיה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שירמן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, חיים, השירה העברית בספרד ובפרובנס, מוסד ביאליק, ירושלים,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דביר ת"א 1959.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lastRenderedPageBreak/>
        <w:t xml:space="preserve">אבן גבירול שלמה, שירים ערוכים ומבוארים בידי ח'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שירמן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, שוקן, תשל"ד.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רצהבי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, יהודה, ילקוט שירים לאבן גבירול וליהודה הלוי, עם עובד, ת"א,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1985.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מירסקי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, אהרון, "ראשית הפיוט", עיונים, הסוכנות היהודית, ירושלים, תשכ"ה.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זידמן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, י"ד, כתר מלכות, ספריית מקורות, הוצאת מוסד הרב קוק, תש"י.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יונה, דוד, שלמה אבן גבירול - ניתוח והערכה, משלב, תל-אביב, תשל"ז.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ברגמן, ד' (עורכת), הוראת שירי הקודש, מדריך למורה, משרד החינוך, תש"מ.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ד"ר בן שמאי, מאיר הלל, החטא והסליחה, 'אמונה ויהדות',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גליון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המאה של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מחניים, בטאון צה"ל, תשכ"ו.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 xml:space="preserve">מ"ב לרנר,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יעודו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של האדם, 'אמונה ויהדות',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גליון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המאה של מחניים, בטאון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צה"ל, תשכ"ו.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0" w:name="_GoBack"/>
      <w:bookmarkEnd w:id="0"/>
      <w:r w:rsidRPr="00F45F37">
        <w:rPr>
          <w:rFonts w:ascii="Arial" w:eastAsia="Times New Roman" w:hAnsi="Arial" w:cs="Arial"/>
          <w:sz w:val="24"/>
          <w:szCs w:val="24"/>
        </w:rPr>
        <w:br/>
      </w:r>
      <w:r w:rsidRPr="00F45F37">
        <w:rPr>
          <w:rFonts w:ascii="Arial" w:eastAsia="Times New Roman" w:hAnsi="Arial" w:cs="Arial"/>
          <w:sz w:val="24"/>
          <w:szCs w:val="24"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  <w:rtl/>
        </w:rPr>
        <w:t>הערות שוליים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1" w:name="fn1"/>
      <w:bookmarkEnd w:id="1"/>
      <w:r w:rsidRPr="00F45F37">
        <w:rPr>
          <w:rFonts w:ascii="Arial" w:eastAsia="Times New Roman" w:hAnsi="Arial" w:cs="Arial"/>
          <w:sz w:val="24"/>
          <w:szCs w:val="24"/>
        </w:rPr>
        <w:t>.1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t xml:space="preserve">בשירו ניחר בקוראי גרוני, יש פירוט מלא של הוויית הסבל של </w:t>
      </w:r>
      <w:proofErr w:type="spellStart"/>
      <w:r w:rsidRPr="00F45F37">
        <w:rPr>
          <w:rFonts w:ascii="Arial" w:eastAsia="Times New Roman" w:hAnsi="Arial" w:cs="Arial" w:hint="cs"/>
          <w:sz w:val="24"/>
          <w:szCs w:val="24"/>
          <w:rtl/>
        </w:rPr>
        <w:t>רשב"ג</w:t>
      </w:r>
      <w:proofErr w:type="spellEnd"/>
      <w:r w:rsidRPr="00F45F37">
        <w:rPr>
          <w:rFonts w:ascii="Arial" w:eastAsia="Times New Roman" w:hAnsi="Arial" w:cs="Arial" w:hint="cs"/>
          <w:sz w:val="24"/>
          <w:szCs w:val="24"/>
          <w:rtl/>
        </w:rPr>
        <w:t>. כדאי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  <w:t>להביאו לכיתה כטקסט מרחיב, ולהתעכב על השורות: "היה לבבי סחרחר מרוב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  <w:t>כאבי ואוני"/"נקבר בלי אם ולא אב צעיר ויחיד ועני"/"נפרד בלי אח, ואין לי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  <w:t>רע לבד רעיוני".</w:t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</w:r>
      <w:r w:rsidRPr="00F45F37">
        <w:rPr>
          <w:rFonts w:ascii="Arial" w:eastAsia="Times New Roman" w:hAnsi="Arial" w:cs="Arial" w:hint="cs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2" w:name="fn2"/>
      <w:bookmarkEnd w:id="2"/>
      <w:r w:rsidRPr="00F45F37">
        <w:rPr>
          <w:rFonts w:ascii="Arial" w:eastAsia="Times New Roman" w:hAnsi="Arial" w:cs="Arial"/>
          <w:sz w:val="24"/>
          <w:szCs w:val="24"/>
        </w:rPr>
        <w:t>.2</w:t>
      </w:r>
      <w:r w:rsidRPr="00F45F37">
        <w:rPr>
          <w:rFonts w:ascii="Arial" w:eastAsia="Times New Roman" w:hAnsi="Arial" w:cs="Arial"/>
          <w:sz w:val="24"/>
          <w:szCs w:val="24"/>
          <w:rtl/>
        </w:rPr>
        <w:t>ניתן לאייר מעגלים על הלוח, או להשתמש בשקף בעל רבדים. התלמידים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עשויים לאתר את השורות המביעות חסימה, להציען, ואז להניח רובד שקף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תואם.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lastRenderedPageBreak/>
        <w:br/>
      </w:r>
      <w:bookmarkStart w:id="3" w:name="fn3"/>
      <w:bookmarkEnd w:id="3"/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.3</w:t>
      </w:r>
      <w:r w:rsidRPr="00F45F37">
        <w:rPr>
          <w:rFonts w:ascii="Arial" w:eastAsia="Times New Roman" w:hAnsi="Arial" w:cs="Arial"/>
          <w:sz w:val="24"/>
          <w:szCs w:val="24"/>
          <w:rtl/>
        </w:rPr>
        <w:t>רשימה מלאה של המקורות לשיבוצים ראו בנספח לעיון בשיר זה.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4" w:name="fn4"/>
      <w:bookmarkEnd w:id="4"/>
      <w:r w:rsidRPr="00F45F37">
        <w:rPr>
          <w:rFonts w:ascii="Arial" w:eastAsia="Times New Roman" w:hAnsi="Arial" w:cs="Arial"/>
          <w:sz w:val="24"/>
          <w:szCs w:val="24"/>
        </w:rPr>
        <w:t>.4</w:t>
      </w:r>
      <w:r w:rsidRPr="00F45F37">
        <w:rPr>
          <w:rFonts w:ascii="Arial" w:eastAsia="Times New Roman" w:hAnsi="Arial" w:cs="Arial"/>
          <w:sz w:val="24"/>
          <w:szCs w:val="24"/>
          <w:rtl/>
        </w:rPr>
        <w:t>אמנם הפרדנו בין גוף לנפש, אך כידוע, חכמי ימי הביניים נטו לאמץ את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הקונספציה של הפילוסופים ביוון בדבר אחדותם של גוף ונפש (נפש בריאה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בגוף בריא) והיו בעלי גישה הוליסטית למהות האנושית.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5" w:name="fn5"/>
      <w:bookmarkEnd w:id="5"/>
      <w:r w:rsidRPr="00F45F37">
        <w:rPr>
          <w:rFonts w:ascii="Arial" w:eastAsia="Times New Roman" w:hAnsi="Arial" w:cs="Arial"/>
          <w:sz w:val="24"/>
          <w:szCs w:val="24"/>
        </w:rPr>
        <w:t>.5</w:t>
      </w:r>
      <w:r w:rsidRPr="00F45F37">
        <w:rPr>
          <w:rFonts w:ascii="Arial" w:eastAsia="Times New Roman" w:hAnsi="Arial" w:cs="Arial"/>
          <w:sz w:val="24"/>
          <w:szCs w:val="24"/>
          <w:rtl/>
        </w:rPr>
        <w:t xml:space="preserve">נוכל להשוות לשורותיו של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ריה"ל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- "עבדי זמן עבדי עבדים המה, עבד ה' הוא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 xml:space="preserve">לבד חופשי". לפי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ריה"ל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עבדות לקב"ה, לתורתו ולמצוותיו, משחררת את האדם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מחיפושי דרך ומאכזבות מתורות אנוש מתחלפות וזמניות. בדרך ההשוואה ניטיב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>להבליט את רעיונותיהם של שני המשוררים ולהדגיש את רעיון המירוק ואת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  <w:t xml:space="preserve">השחרור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האמיתי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 xml:space="preserve"> של הנפש בדברי </w:t>
      </w:r>
      <w:proofErr w:type="spellStart"/>
      <w:r w:rsidRPr="00F45F37">
        <w:rPr>
          <w:rFonts w:ascii="Arial" w:eastAsia="Times New Roman" w:hAnsi="Arial" w:cs="Arial"/>
          <w:sz w:val="24"/>
          <w:szCs w:val="24"/>
          <w:rtl/>
        </w:rPr>
        <w:t>רשב"ג</w:t>
      </w:r>
      <w:proofErr w:type="spellEnd"/>
      <w:r w:rsidRPr="00F45F37">
        <w:rPr>
          <w:rFonts w:ascii="Arial" w:eastAsia="Times New Roman" w:hAnsi="Arial" w:cs="Arial"/>
          <w:sz w:val="24"/>
          <w:szCs w:val="24"/>
          <w:rtl/>
        </w:rPr>
        <w:t>.</w:t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  <w:r w:rsidRPr="00F45F37">
        <w:rPr>
          <w:rFonts w:ascii="Arial" w:eastAsia="Times New Roman" w:hAnsi="Arial" w:cs="Arial"/>
          <w:sz w:val="24"/>
          <w:szCs w:val="24"/>
          <w:rtl/>
        </w:rPr>
        <w:br/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bookmarkStart w:id="6" w:name="fn6"/>
      <w:bookmarkEnd w:id="6"/>
      <w:r w:rsidRPr="00F45F37">
        <w:rPr>
          <w:rFonts w:ascii="Arial" w:eastAsia="Times New Roman" w:hAnsi="Arial" w:cs="Arial"/>
          <w:sz w:val="24"/>
          <w:szCs w:val="24"/>
        </w:rPr>
        <w:t> </w:t>
      </w:r>
    </w:p>
    <w:tbl>
      <w:tblPr>
        <w:bidiVisual/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45F37" w:rsidRPr="00F45F37" w:rsidTr="00F45F3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5F37" w:rsidRPr="00F45F37" w:rsidRDefault="00F45F37" w:rsidP="00F45F3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45F3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45F37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</w:tbl>
    <w:p w:rsidR="00F45F37" w:rsidRPr="00F45F37" w:rsidRDefault="00F45F37" w:rsidP="00F45F3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45F37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45F37" w:rsidRPr="00F45F37" w:rsidTr="00F45F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5F37" w:rsidRPr="00F45F37" w:rsidRDefault="00F45F37" w:rsidP="00F45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647B0E" w:rsidRDefault="00647B0E"/>
    <w:sectPr w:rsidR="00647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37"/>
    <w:rsid w:val="00647B0E"/>
    <w:rsid w:val="00F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C8308-878F-423A-94A2-2DD5517D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5F37"/>
  </w:style>
  <w:style w:type="character" w:styleId="Hyperlink">
    <w:name w:val="Hyperlink"/>
    <w:basedOn w:val="a0"/>
    <w:uiPriority w:val="99"/>
    <w:semiHidden/>
    <w:unhideWhenUsed/>
    <w:rsid w:val="00F45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v.il/tochniyot_Limudim/sifrut/asi13008.htm" TargetMode="External"/><Relationship Id="rId5" Type="http://schemas.openxmlformats.org/officeDocument/2006/relationships/hyperlink" Target="http://www.education.gov.il/tochniyot_Limudim/sifrut/asi13008.htm" TargetMode="External"/><Relationship Id="rId4" Type="http://schemas.openxmlformats.org/officeDocument/2006/relationships/hyperlink" Target="http://www.education.gov.il/tochniyot_Limudim/sifrut/asi13008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Waitzman</dc:creator>
  <cp:keywords/>
  <dc:description/>
  <cp:lastModifiedBy>Rotem Waitzman</cp:lastModifiedBy>
  <cp:revision>1</cp:revision>
  <dcterms:created xsi:type="dcterms:W3CDTF">2016-08-24T10:45:00Z</dcterms:created>
  <dcterms:modified xsi:type="dcterms:W3CDTF">2016-08-24T10:45:00Z</dcterms:modified>
</cp:coreProperties>
</file>