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75" w:rsidRPr="000C3E90" w:rsidRDefault="000C3E90" w:rsidP="000C3E90">
      <w:pPr>
        <w:rPr>
          <w:b/>
          <w:bCs/>
          <w:u w:val="single"/>
          <w:rtl/>
        </w:rPr>
      </w:pPr>
      <w:r w:rsidRPr="000C3E90">
        <w:rPr>
          <w:b/>
          <w:bCs/>
          <w:u w:val="single"/>
          <w:rtl/>
        </w:rPr>
        <w:t>ישעיה ברלין – על מהי לאומנות?</w:t>
      </w:r>
    </w:p>
    <w:p w:rsidR="000C3E90" w:rsidRPr="000C3E90" w:rsidRDefault="000C3E90" w:rsidP="000C3E90">
      <w:pPr>
        <w:rPr>
          <w:rtl/>
        </w:rPr>
      </w:pPr>
      <w:hyperlink r:id="rId4" w:history="1">
        <w:r w:rsidRPr="000C3E90">
          <w:rPr>
            <w:rStyle w:val="Hyperlink"/>
          </w:rPr>
          <w:t>http://lib.cet.ac.il/pages/item.asp?item=17291</w:t>
        </w:r>
      </w:hyperlink>
    </w:p>
    <w:p w:rsidR="000C3E90" w:rsidRPr="000C3E90" w:rsidRDefault="000C3E90" w:rsidP="000C3E90">
      <w:pPr>
        <w:rPr>
          <w:rtl/>
        </w:rPr>
      </w:pPr>
    </w:p>
    <w:p w:rsidR="000C3E90" w:rsidRPr="000C3E90" w:rsidRDefault="000C3E90" w:rsidP="000C3E90">
      <w:pPr>
        <w:spacing w:before="100" w:beforeAutospacing="1" w:after="100" w:afterAutospacing="1"/>
        <w:rPr>
          <w:rFonts w:eastAsia="Times New Roman"/>
          <w:color w:val="000000"/>
        </w:rPr>
      </w:pPr>
      <w:r w:rsidRPr="000C3E90">
        <w:rPr>
          <w:rFonts w:eastAsia="Times New Roman"/>
          <w:color w:val="000000"/>
          <w:rtl/>
        </w:rPr>
        <w:t xml:space="preserve">"...בדברי על לאומנות כוונתי לדבר מוגדר הרבה יותר, חשוב מבחינה אידיאולוגית ואף מסוכן : בראש ובראשונה האמונה כי בני האדם נמנים עם קבוצה אנושית </w:t>
      </w:r>
      <w:proofErr w:type="spellStart"/>
      <w:r w:rsidRPr="000C3E90">
        <w:rPr>
          <w:rFonts w:eastAsia="Times New Roman"/>
          <w:color w:val="000000"/>
          <w:rtl/>
        </w:rPr>
        <w:t>מסויימת</w:t>
      </w:r>
      <w:proofErr w:type="spellEnd"/>
      <w:r w:rsidRPr="000C3E90">
        <w:rPr>
          <w:rFonts w:eastAsia="Times New Roman"/>
          <w:color w:val="000000"/>
          <w:rtl/>
        </w:rPr>
        <w:t xml:space="preserve">, וכי אורח חייה של הקבוצה הזאת שונה משל חברותיה: כי תכונותיהם של הפרטים המרכיבים את הקבוצה הזאת מעוצבות על-פי תכונות הקבוצה, ואין להבינן אלא במסגרתה. יש להגדיר את התכונות הללו במונחים של טריטוריה משותפת, מנהגים, חוקים, זיכרונות, אמונות, לשון, גילויים </w:t>
      </w:r>
      <w:proofErr w:type="spellStart"/>
      <w:r w:rsidRPr="000C3E90">
        <w:rPr>
          <w:rFonts w:eastAsia="Times New Roman"/>
          <w:color w:val="000000"/>
          <w:rtl/>
        </w:rPr>
        <w:t>אמונתיים</w:t>
      </w:r>
      <w:proofErr w:type="spellEnd"/>
      <w:r w:rsidRPr="000C3E90">
        <w:rPr>
          <w:rFonts w:eastAsia="Times New Roman"/>
          <w:color w:val="000000"/>
          <w:rtl/>
        </w:rPr>
        <w:t xml:space="preserve"> ודתיים, מוסדות חברתיים ואורחות חיים משותפים, ויש אף המוסיפים לרשימה תורשה, קירבת דם ומאפיינים גזעיים: ומוסיפים כי גורמים אלה הם המעצבים את בני-האדם, את שאיפותיהם ואת ערכיהם</w:t>
      </w:r>
      <w:r w:rsidRPr="000C3E90">
        <w:rPr>
          <w:rFonts w:eastAsia="Times New Roman"/>
          <w:color w:val="000000"/>
        </w:rPr>
        <w:t>.</w:t>
      </w:r>
    </w:p>
    <w:p w:rsidR="000C3E90" w:rsidRPr="000C3E90" w:rsidRDefault="000C3E90" w:rsidP="000C3E90">
      <w:pPr>
        <w:spacing w:before="100" w:beforeAutospacing="1" w:after="100" w:afterAutospacing="1"/>
        <w:rPr>
          <w:rFonts w:eastAsia="Times New Roman"/>
          <w:color w:val="000000"/>
        </w:rPr>
      </w:pPr>
      <w:r w:rsidRPr="000C3E90">
        <w:rPr>
          <w:rFonts w:eastAsia="Times New Roman"/>
          <w:color w:val="000000"/>
          <w:rtl/>
        </w:rPr>
        <w:t xml:space="preserve">שנית, האמונה כי אורח חייה של חברה דומה לזה של אורגניזם ביולוגי; וכי צרכיו של האורגניזם הזה לשם התפתחות תקינה – צרכים אשר הרגישים ביותר לטיבם מגדירים אותם במלים, בדימויים או בצורות ביטוי אחרות – מרכיבים את שאיפותיהם המשותפות; כי המטרות הללו עליונות; במקרים של התנגשות עם ערכים אחרים, אשר נגזרים ממטרותיו המיוחדות של "אורגניזם" </w:t>
      </w:r>
      <w:proofErr w:type="spellStart"/>
      <w:r w:rsidRPr="000C3E90">
        <w:rPr>
          <w:rFonts w:eastAsia="Times New Roman"/>
          <w:color w:val="000000"/>
          <w:rtl/>
        </w:rPr>
        <w:t>מסויים</w:t>
      </w:r>
      <w:proofErr w:type="spellEnd"/>
      <w:r w:rsidRPr="000C3E90">
        <w:rPr>
          <w:rFonts w:eastAsia="Times New Roman"/>
          <w:color w:val="000000"/>
          <w:rtl/>
        </w:rPr>
        <w:t xml:space="preserve"> – מטרות אינטלקטואליות, דתיות או מוסריות, אישיות או אוניברסאליות – ערכים עליונים אלה חייבים לעמוד על כנם, שכן רק בכוחם למנוע את שקיעתה וחורבנה של האומה. זאת ועוד, הגדרת צורות החיים הללו "אורגניות", פירושה שיחידים או קבוצות אינם יכולים לגבש אותן באופן מלאכותי, יהא מעמדם בחברה אשר יהיה, אלא אם הם עצמם חדורים באורחות הפעולה, המחשבה והתחושה הללו. אלה מתפתחים באופן היסטורי, וחותרים תחת כל דבר אחר, בהתמודדות עם המציאות, ומעל לכל ביחסם של בני-האדם זה לזה. הם המרכיבים את האורגניזם הלאומי – האומה – בין אם הוא לובש צורה של מדינה ובין אם לאו. מכאן, שהיחידה האנושית החיונית, שבה מגיע טבעו של האדם לשיא מיצויו, אינה היחיד או החבורה הוולונטארית הניתנת לפירוק, לשינוי או לנטישה בכל עת, אלא האומה; וחיי היחידות המשניות, המשפחה, השבט או הפרובינציה, חייבים להיות כפופים ליצירתה ולשמירת קיומה של האומה, שהרי טיבם ומטרתם – המכונים לעתים "משמעותם" – נובעים מטיבה וממטרותיה: וכי אלה אינם מתגלים בניתוח רציונאלי, אלא בהכרה מסוג מסוים ביותר. הכרה שאינה בהכרח מודעת לחלוטין ליחסים הייחודיים הקושרים את הפרטים זה לזה והופכים אותם לשלמות אורגנית, יציבה ובלתי-ניתנת לפירוק ולניתוח. בֶּרק זיהה את השלמות הזאת עם החברה</w:t>
      </w:r>
      <w:r w:rsidRPr="000C3E90">
        <w:rPr>
          <w:rFonts w:eastAsia="Times New Roman"/>
          <w:color w:val="000000"/>
        </w:rPr>
        <w:t xml:space="preserve">, </w:t>
      </w:r>
      <w:bookmarkStart w:id="0" w:name="ז'ן_ז'ק_רוסו_(1778-1712):_פילוסוף,_סופר_"/>
      <w:r w:rsidRPr="000C3E90">
        <w:rPr>
          <w:rFonts w:eastAsia="Times New Roman"/>
          <w:color w:val="000000"/>
        </w:rPr>
        <w:fldChar w:fldCharType="begin"/>
      </w:r>
      <w:r w:rsidRPr="000C3E90">
        <w:rPr>
          <w:rFonts w:eastAsia="Times New Roman"/>
          <w:color w:val="000000"/>
        </w:rPr>
        <w:instrText xml:space="preserve"> HYPERLINK "http://lib.cet.ac.il/pages/item.asp?item=17540" \o "" </w:instrText>
      </w:r>
      <w:r w:rsidRPr="000C3E90">
        <w:rPr>
          <w:rFonts w:eastAsia="Times New Roman"/>
          <w:color w:val="000000"/>
        </w:rPr>
        <w:fldChar w:fldCharType="separate"/>
      </w:r>
      <w:r w:rsidRPr="000C3E90">
        <w:rPr>
          <w:rFonts w:eastAsia="Times New Roman"/>
          <w:b/>
          <w:bCs/>
          <w:color w:val="228B22"/>
          <w:rtl/>
        </w:rPr>
        <w:t xml:space="preserve">רוּסו </w:t>
      </w:r>
      <w:r w:rsidRPr="000C3E90">
        <w:rPr>
          <w:rFonts w:eastAsia="Times New Roman"/>
          <w:color w:val="000000"/>
        </w:rPr>
        <w:fldChar w:fldCharType="end"/>
      </w:r>
      <w:bookmarkEnd w:id="0"/>
      <w:r w:rsidRPr="000C3E90">
        <w:rPr>
          <w:rFonts w:eastAsia="Times New Roman"/>
          <w:color w:val="000000"/>
          <w:rtl/>
        </w:rPr>
        <w:t>עם העם, הֶגל עם המדינה, אך בעיני הלאומנים זו האומה ואין בלתה, בין אם הדבר בא לביטוי במבנה החברתי שלה ובין אם בצורת השלטון</w:t>
      </w:r>
      <w:r w:rsidRPr="000C3E90">
        <w:rPr>
          <w:rFonts w:eastAsia="Times New Roman"/>
          <w:color w:val="000000"/>
        </w:rPr>
        <w:t>.</w:t>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8306"/>
      </w:tblGrid>
      <w:tr w:rsidR="000C3E90" w:rsidRPr="000C3E90" w:rsidTr="000C3E90">
        <w:trPr>
          <w:tblCellSpacing w:w="15" w:type="dxa"/>
          <w:jc w:val="right"/>
        </w:trPr>
        <w:tc>
          <w:tcPr>
            <w:tcW w:w="0" w:type="auto"/>
            <w:vAlign w:val="center"/>
            <w:hideMark/>
          </w:tcPr>
          <w:p w:rsidR="000C3E90" w:rsidRDefault="000C3E90" w:rsidP="000C3E90">
            <w:pPr>
              <w:rPr>
                <w:rFonts w:eastAsia="Times New Roman" w:hint="cs"/>
                <w:color w:val="000000"/>
                <w:rtl/>
              </w:rPr>
            </w:pPr>
            <w:r w:rsidRPr="000C3E90">
              <w:rPr>
                <w:rFonts w:eastAsia="Times New Roman"/>
                <w:color w:val="000000"/>
                <w:rtl/>
              </w:rPr>
              <w:t xml:space="preserve">שלישית, גישה זו גורמת לתחושה, שאחת הסיבות הראשוניות, ואולי אף הראשונית מכולן. להתגבשות אמונה מסוימת או מדיניות מסוימת, לחתירה למטרה מסוימת, לניהול אורח-חיים מסוים. היא שהמטרות, אמונות, אורח-חיים או מדיניות כלשהי היא שלנו. הדבר שקול כנגד האמירה, כי יש לקיים חוקים, דוקטרינות או עקרונות אלה לא משום שהם מובילים למעלות טובות, לאושר, לצדק או לחירות, או שאלה הן מצוות האל, הכנסייה, הנסיך, הפרלמנט או כל </w:t>
            </w:r>
            <w:r w:rsidRPr="000C3E90">
              <w:rPr>
                <w:rFonts w:eastAsia="Times New Roman"/>
                <w:color w:val="000000"/>
                <w:rtl/>
              </w:rPr>
              <w:lastRenderedPageBreak/>
              <w:t xml:space="preserve">סמכות אחרת המוכרת באורח אוניברסאלי, לא משום שהם טובים או צודקים בזכות עצמם, ולכן יש להם תוקף אוניברסאלי לעצמם. לכל בני-האדם בתנאים נתונים; אלא יש לקיימם משום שערכים אלה מקובלים על הקבוצה </w:t>
            </w:r>
            <w:r w:rsidRPr="000C3E90">
              <w:rPr>
                <w:rFonts w:eastAsia="Times New Roman"/>
                <w:b/>
                <w:bCs/>
                <w:color w:val="000000"/>
                <w:rtl/>
              </w:rPr>
              <w:t>שלי</w:t>
            </w:r>
            <w:r w:rsidRPr="000C3E90">
              <w:rPr>
                <w:rFonts w:eastAsia="Times New Roman"/>
                <w:color w:val="000000"/>
                <w:rtl/>
              </w:rPr>
              <w:t xml:space="preserve"> </w:t>
            </w:r>
            <w:r w:rsidRPr="000C3E90">
              <w:rPr>
                <w:rFonts w:eastAsia="Times New Roman"/>
                <w:color w:val="000000"/>
              </w:rPr>
              <w:t xml:space="preserve">– </w:t>
            </w:r>
            <w:r w:rsidRPr="000C3E90">
              <w:rPr>
                <w:rFonts w:eastAsia="Times New Roman"/>
                <w:color w:val="000000"/>
                <w:rtl/>
              </w:rPr>
              <w:t xml:space="preserve">ובעיני </w:t>
            </w:r>
            <w:proofErr w:type="spellStart"/>
            <w:r w:rsidRPr="000C3E90">
              <w:rPr>
                <w:rFonts w:eastAsia="Times New Roman"/>
                <w:color w:val="000000"/>
                <w:rtl/>
              </w:rPr>
              <w:t>הלאומן</w:t>
            </w:r>
            <w:proofErr w:type="spellEnd"/>
            <w:r w:rsidRPr="000C3E90">
              <w:rPr>
                <w:rFonts w:eastAsia="Times New Roman"/>
                <w:color w:val="000000"/>
                <w:rtl/>
              </w:rPr>
              <w:t xml:space="preserve">, על </w:t>
            </w:r>
            <w:r w:rsidRPr="000C3E90">
              <w:rPr>
                <w:rFonts w:eastAsia="Times New Roman"/>
                <w:b/>
                <w:bCs/>
                <w:color w:val="000000"/>
                <w:rtl/>
              </w:rPr>
              <w:t>האומה</w:t>
            </w:r>
            <w:r w:rsidRPr="000C3E90">
              <w:rPr>
                <w:rFonts w:eastAsia="Times New Roman"/>
                <w:color w:val="000000"/>
                <w:rtl/>
              </w:rPr>
              <w:t xml:space="preserve"> שלי; מחשבות, תחושות, דרכי פעולה אלה טובות או צודקות והזדהות עִמן תקנה לי אושר או הגשמה עצמית, משום שהן בחזקת דרישות של החברה שלתוכה נולדתי ואליה אני קשור על-פי אין-ספור מושגיו של בֶּרק. מושגים אלה נוגעים לעברה של האומה שלי ולעתידה, ובלעדיהם, בלשון ההשאלה, אני עלה נידף ברוח, ענף תלוש מהעץ אשר הוא ורק הוא מעניק לי חיים; מכאן, שאם </w:t>
            </w:r>
            <w:proofErr w:type="spellStart"/>
            <w:r w:rsidRPr="000C3E90">
              <w:rPr>
                <w:rFonts w:eastAsia="Times New Roman"/>
                <w:color w:val="000000"/>
                <w:rtl/>
              </w:rPr>
              <w:t>אינתק</w:t>
            </w:r>
            <w:proofErr w:type="spellEnd"/>
            <w:r w:rsidRPr="000C3E90">
              <w:rPr>
                <w:rFonts w:eastAsia="Times New Roman"/>
                <w:color w:val="000000"/>
                <w:rtl/>
              </w:rPr>
              <w:t xml:space="preserve"> מהם בכורח הנסיבות או בכוונה תחילה, אאבד כל תכלית לחיי, אקמול </w:t>
            </w:r>
            <w:proofErr w:type="spellStart"/>
            <w:r w:rsidRPr="000C3E90">
              <w:rPr>
                <w:rFonts w:eastAsia="Times New Roman"/>
                <w:color w:val="000000"/>
                <w:rtl/>
              </w:rPr>
              <w:t>ואיבש</w:t>
            </w:r>
            <w:proofErr w:type="spellEnd"/>
            <w:r w:rsidRPr="000C3E90">
              <w:rPr>
                <w:rFonts w:eastAsia="Times New Roman"/>
                <w:color w:val="000000"/>
                <w:rtl/>
              </w:rPr>
              <w:t xml:space="preserve"> וכל שיוותר לי, במקרה הטוב ביותר, הם זיכרונות נוסטלגיים מאותם חיים מלאים ופעילים מימים עברו, הימים שבהם הייתי חלק מחיי האומה. הבנה זו, היא לבדה שהעניקה משמעות וערך לכל שהייתי ולכל שעשיתי</w:t>
            </w:r>
            <w:r w:rsidR="001538D7">
              <w:rPr>
                <w:rFonts w:eastAsia="Times New Roman" w:hint="cs"/>
                <w:color w:val="000000"/>
                <w:rtl/>
              </w:rPr>
              <w:t xml:space="preserve"> [....]</w:t>
            </w:r>
            <w:bookmarkStart w:id="1" w:name="_GoBack"/>
            <w:bookmarkEnd w:id="1"/>
          </w:p>
          <w:p w:rsidR="001538D7" w:rsidRDefault="001538D7" w:rsidP="000C3E90">
            <w:pPr>
              <w:rPr>
                <w:rFonts w:eastAsia="Times New Roman"/>
                <w:color w:val="000000"/>
                <w:rtl/>
              </w:rPr>
            </w:pPr>
          </w:p>
          <w:p w:rsidR="001538D7" w:rsidRPr="001538D7" w:rsidRDefault="001538D7" w:rsidP="000C3E90">
            <w:pPr>
              <w:rPr>
                <w:rFonts w:eastAsia="Times New Roman"/>
                <w:b/>
                <w:bCs/>
                <w:color w:val="B22222"/>
                <w:rtl/>
              </w:rPr>
            </w:pPr>
            <w:r>
              <w:rPr>
                <w:rFonts w:eastAsia="Times New Roman" w:hint="cs"/>
                <w:color w:val="000000"/>
                <w:rtl/>
              </w:rPr>
              <w:t>[...]"ל</w:t>
            </w:r>
            <w:r w:rsidRPr="001538D7">
              <w:rPr>
                <w:rFonts w:eastAsia="Times New Roman"/>
                <w:color w:val="000000"/>
                <w:rtl/>
              </w:rPr>
              <w:t xml:space="preserve">בסוף, כתוצאה מהתפתחות שאינה צריכה להפתיע איש, הגיעה הלאומנות בשיא פריחתה למעמד כה רם, עד כי במקרה שסיפוק צורכי האורגניזם שאני נימנה עמו אינה עולה בקנה אחד עם הגשמת מטרותיהן על קבוצות אחרות, הרי שאין לי, או אין לחברה שאני חלק בלתי-נפרד ממנה, ברירה אלא לאלץ אותן קבוצות להיכנע אפילו תוך שימוש בכוח. אם הקבוצה שלי – נוכל לכנות קבוצה זו בשם "לאום" – מבקשת להגשים את טבעה </w:t>
            </w:r>
            <w:proofErr w:type="spellStart"/>
            <w:r w:rsidRPr="001538D7">
              <w:rPr>
                <w:rFonts w:eastAsia="Times New Roman"/>
                <w:color w:val="000000"/>
                <w:rtl/>
              </w:rPr>
              <w:t>האמיתי</w:t>
            </w:r>
            <w:proofErr w:type="spellEnd"/>
            <w:r w:rsidRPr="001538D7">
              <w:rPr>
                <w:rFonts w:eastAsia="Times New Roman"/>
                <w:color w:val="000000"/>
                <w:rtl/>
              </w:rPr>
              <w:t xml:space="preserve"> באורח חופשי, פירוש הדבר אף הצורך לסלק מכשולים הנקרים על דרכה</w:t>
            </w:r>
            <w:r>
              <w:rPr>
                <w:rFonts w:eastAsia="Times New Roman"/>
                <w:color w:val="000000"/>
              </w:rPr>
              <w:t xml:space="preserve"> ]///["</w:t>
            </w:r>
          </w:p>
          <w:p w:rsidR="001538D7" w:rsidRDefault="001538D7" w:rsidP="000C3E90">
            <w:pPr>
              <w:rPr>
                <w:rFonts w:eastAsia="Times New Roman"/>
                <w:b/>
                <w:bCs/>
                <w:color w:val="B22222"/>
                <w:rtl/>
              </w:rPr>
            </w:pPr>
          </w:p>
          <w:p w:rsidR="001538D7" w:rsidRPr="000C3E90" w:rsidRDefault="001538D7" w:rsidP="000C3E90">
            <w:pPr>
              <w:rPr>
                <w:rFonts w:eastAsia="Times New Roman" w:hint="cs"/>
                <w:b/>
                <w:bCs/>
                <w:color w:val="B22222"/>
              </w:rPr>
            </w:pPr>
          </w:p>
        </w:tc>
      </w:tr>
      <w:tr w:rsidR="000C3E90" w:rsidRPr="000C3E90" w:rsidTr="000C3E90">
        <w:trPr>
          <w:tblCellSpacing w:w="15" w:type="dxa"/>
          <w:jc w:val="right"/>
        </w:trPr>
        <w:tc>
          <w:tcPr>
            <w:tcW w:w="0" w:type="auto"/>
            <w:shd w:val="clear" w:color="auto" w:fill="auto"/>
            <w:vAlign w:val="center"/>
            <w:hideMark/>
          </w:tcPr>
          <w:p w:rsidR="000C3E90" w:rsidRPr="000C3E90" w:rsidRDefault="000C3E90" w:rsidP="000C3E90">
            <w:pPr>
              <w:rPr>
                <w:rFonts w:eastAsia="Times New Roman"/>
                <w:noProof/>
                <w:color w:val="B22222"/>
              </w:rPr>
            </w:pPr>
          </w:p>
        </w:tc>
      </w:tr>
      <w:tr w:rsidR="000C3E90" w:rsidRPr="000C3E90" w:rsidTr="000C3E90">
        <w:trPr>
          <w:tblCellSpacing w:w="15" w:type="dxa"/>
          <w:jc w:val="right"/>
        </w:trPr>
        <w:tc>
          <w:tcPr>
            <w:tcW w:w="0" w:type="auto"/>
            <w:shd w:val="clear" w:color="auto" w:fill="EEEEEE"/>
            <w:vAlign w:val="center"/>
            <w:hideMark/>
          </w:tcPr>
          <w:p w:rsidR="000C3E90" w:rsidRPr="000C3E90" w:rsidRDefault="000C3E90" w:rsidP="000C3E90">
            <w:pPr>
              <w:rPr>
                <w:rFonts w:eastAsia="Times New Roman"/>
                <w:noProof/>
                <w:color w:val="B22222"/>
              </w:rPr>
            </w:pPr>
          </w:p>
        </w:tc>
      </w:tr>
      <w:tr w:rsidR="000C3E90" w:rsidRPr="000C3E90" w:rsidTr="000C3E90">
        <w:trPr>
          <w:tblCellSpacing w:w="15" w:type="dxa"/>
          <w:jc w:val="right"/>
        </w:trPr>
        <w:tc>
          <w:tcPr>
            <w:tcW w:w="0" w:type="auto"/>
            <w:shd w:val="clear" w:color="auto" w:fill="auto"/>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1349"/>
              <w:gridCol w:w="6867"/>
            </w:tblGrid>
            <w:tr w:rsidR="000C3E90" w:rsidRPr="000C3E90">
              <w:trPr>
                <w:trHeight w:val="165"/>
                <w:tblCellSpacing w:w="0" w:type="dxa"/>
                <w:jc w:val="right"/>
              </w:trPr>
              <w:tc>
                <w:tcPr>
                  <w:tcW w:w="1200" w:type="dxa"/>
                  <w:shd w:val="clear" w:color="auto" w:fill="FFFFFF"/>
                  <w:noWrap/>
                  <w:tcMar>
                    <w:top w:w="0" w:type="dxa"/>
                    <w:left w:w="30" w:type="dxa"/>
                    <w:bottom w:w="0" w:type="dxa"/>
                    <w:right w:w="30" w:type="dxa"/>
                  </w:tcMar>
                  <w:hideMark/>
                </w:tcPr>
                <w:p w:rsidR="000C3E90" w:rsidRPr="000C3E90" w:rsidRDefault="000C3E90" w:rsidP="000C3E90">
                  <w:pPr>
                    <w:rPr>
                      <w:rFonts w:eastAsia="Times New Roman"/>
                    </w:rPr>
                  </w:pPr>
                  <w:r w:rsidRPr="000C3E90">
                    <w:rPr>
                      <w:rFonts w:eastAsia="Times New Roman"/>
                      <w:rtl/>
                    </w:rPr>
                    <w:t>כותר</w:t>
                  </w:r>
                  <w:r w:rsidRPr="000C3E90">
                    <w:rPr>
                      <w:rFonts w:eastAsia="Times New Roman"/>
                    </w:rPr>
                    <w:t>:</w:t>
                  </w:r>
                </w:p>
              </w:tc>
              <w:tc>
                <w:tcPr>
                  <w:tcW w:w="0" w:type="auto"/>
                  <w:shd w:val="clear" w:color="auto" w:fill="FFFFFF"/>
                  <w:tcMar>
                    <w:top w:w="0" w:type="dxa"/>
                    <w:left w:w="30" w:type="dxa"/>
                    <w:bottom w:w="0" w:type="dxa"/>
                    <w:right w:w="30" w:type="dxa"/>
                  </w:tcMar>
                  <w:vAlign w:val="center"/>
                  <w:hideMark/>
                </w:tcPr>
                <w:p w:rsidR="000C3E90" w:rsidRPr="000C3E90" w:rsidRDefault="000C3E90" w:rsidP="000C3E90">
                  <w:pPr>
                    <w:rPr>
                      <w:rFonts w:eastAsia="Times New Roman"/>
                    </w:rPr>
                  </w:pPr>
                  <w:r w:rsidRPr="000C3E90">
                    <w:rPr>
                      <w:rFonts w:eastAsia="Times New Roman"/>
                      <w:b/>
                      <w:bCs/>
                      <w:rtl/>
                    </w:rPr>
                    <w:t>לאומיות ולאומנות</w:t>
                  </w:r>
                </w:p>
              </w:tc>
            </w:tr>
            <w:tr w:rsidR="000C3E90" w:rsidRPr="000C3E90">
              <w:trPr>
                <w:trHeight w:val="165"/>
                <w:tblCellSpacing w:w="0" w:type="dxa"/>
                <w:jc w:val="right"/>
              </w:trPr>
              <w:tc>
                <w:tcPr>
                  <w:tcW w:w="0" w:type="auto"/>
                  <w:shd w:val="clear" w:color="auto" w:fill="FFFFFF"/>
                  <w:noWrap/>
                  <w:tcMar>
                    <w:top w:w="0" w:type="dxa"/>
                    <w:left w:w="30" w:type="dxa"/>
                    <w:bottom w:w="0" w:type="dxa"/>
                    <w:right w:w="30" w:type="dxa"/>
                  </w:tcMar>
                  <w:hideMark/>
                </w:tcPr>
                <w:p w:rsidR="000C3E90" w:rsidRPr="000C3E90" w:rsidRDefault="000C3E90" w:rsidP="000C3E90">
                  <w:pPr>
                    <w:rPr>
                      <w:rFonts w:eastAsia="Times New Roman"/>
                    </w:rPr>
                  </w:pPr>
                  <w:r w:rsidRPr="000C3E90">
                    <w:rPr>
                      <w:rFonts w:eastAsia="Times New Roman"/>
                      <w:rtl/>
                    </w:rPr>
                    <w:t>מחבר</w:t>
                  </w:r>
                  <w:r w:rsidRPr="000C3E90">
                    <w:rPr>
                      <w:rFonts w:eastAsia="Times New Roman"/>
                    </w:rPr>
                    <w:t xml:space="preserve">: </w:t>
                  </w:r>
                </w:p>
              </w:tc>
              <w:tc>
                <w:tcPr>
                  <w:tcW w:w="0" w:type="auto"/>
                  <w:shd w:val="clear" w:color="auto" w:fill="FFFFFF"/>
                  <w:tcMar>
                    <w:top w:w="0" w:type="dxa"/>
                    <w:left w:w="30" w:type="dxa"/>
                    <w:bottom w:w="0" w:type="dxa"/>
                    <w:right w:w="30" w:type="dxa"/>
                  </w:tcMar>
                  <w:vAlign w:val="center"/>
                  <w:hideMark/>
                </w:tcPr>
                <w:p w:rsidR="000C3E90" w:rsidRPr="000C3E90" w:rsidRDefault="000C3E90" w:rsidP="000C3E90">
                  <w:pPr>
                    <w:rPr>
                      <w:rFonts w:eastAsia="Times New Roman"/>
                    </w:rPr>
                  </w:pPr>
                  <w:hyperlink r:id="rId5" w:tgtFrame="_top" w:history="1">
                    <w:r w:rsidRPr="000C3E90">
                      <w:rPr>
                        <w:rStyle w:val="Hyperlink"/>
                        <w:rFonts w:eastAsia="Times New Roman"/>
                        <w:rtl/>
                      </w:rPr>
                      <w:t xml:space="preserve">ברלין, ישעיה </w:t>
                    </w:r>
                    <w:r w:rsidRPr="000C3E90">
                      <w:rPr>
                        <w:rStyle w:val="Hyperlink"/>
                        <w:rFonts w:eastAsia="Times New Roman"/>
                      </w:rPr>
                      <w:t>(</w:t>
                    </w:r>
                    <w:proofErr w:type="spellStart"/>
                    <w:r w:rsidRPr="000C3E90">
                      <w:rPr>
                        <w:rStyle w:val="Hyperlink"/>
                        <w:rFonts w:eastAsia="Times New Roman"/>
                        <w:rtl/>
                      </w:rPr>
                      <w:t>פרופ</w:t>
                    </w:r>
                    <w:proofErr w:type="spellEnd"/>
                    <w:r w:rsidRPr="000C3E90">
                      <w:rPr>
                        <w:rStyle w:val="Hyperlink"/>
                        <w:rFonts w:eastAsia="Times New Roman"/>
                      </w:rPr>
                      <w:t xml:space="preserve">') </w:t>
                    </w:r>
                  </w:hyperlink>
                </w:p>
              </w:tc>
            </w:tr>
            <w:tr w:rsidR="000C3E90" w:rsidRPr="000C3E90">
              <w:trPr>
                <w:trHeight w:val="165"/>
                <w:tblCellSpacing w:w="0" w:type="dxa"/>
                <w:jc w:val="right"/>
              </w:trPr>
              <w:tc>
                <w:tcPr>
                  <w:tcW w:w="0" w:type="auto"/>
                  <w:shd w:val="clear" w:color="auto" w:fill="FFFFFF"/>
                  <w:noWrap/>
                  <w:tcMar>
                    <w:top w:w="0" w:type="dxa"/>
                    <w:left w:w="30" w:type="dxa"/>
                    <w:bottom w:w="0" w:type="dxa"/>
                    <w:right w:w="30" w:type="dxa"/>
                  </w:tcMar>
                  <w:hideMark/>
                </w:tcPr>
                <w:p w:rsidR="000C3E90" w:rsidRPr="000C3E90" w:rsidRDefault="000C3E90" w:rsidP="000C3E90">
                  <w:pPr>
                    <w:rPr>
                      <w:rFonts w:eastAsia="Times New Roman"/>
                    </w:rPr>
                  </w:pPr>
                  <w:r w:rsidRPr="000C3E90">
                    <w:rPr>
                      <w:rFonts w:eastAsia="Times New Roman"/>
                      <w:rtl/>
                    </w:rPr>
                    <w:t>תאריך</w:t>
                  </w:r>
                  <w:r w:rsidRPr="000C3E90">
                    <w:rPr>
                      <w:rFonts w:eastAsia="Times New Roman"/>
                    </w:rPr>
                    <w:t>:</w:t>
                  </w:r>
                </w:p>
              </w:tc>
              <w:tc>
                <w:tcPr>
                  <w:tcW w:w="0" w:type="auto"/>
                  <w:shd w:val="clear" w:color="auto" w:fill="FFFFFF"/>
                  <w:tcMar>
                    <w:top w:w="0" w:type="dxa"/>
                    <w:left w:w="30" w:type="dxa"/>
                    <w:bottom w:w="0" w:type="dxa"/>
                    <w:right w:w="30" w:type="dxa"/>
                  </w:tcMar>
                  <w:vAlign w:val="center"/>
                  <w:hideMark/>
                </w:tcPr>
                <w:p w:rsidR="000C3E90" w:rsidRPr="000C3E90" w:rsidRDefault="000C3E90" w:rsidP="000C3E90">
                  <w:pPr>
                    <w:rPr>
                      <w:rFonts w:eastAsia="Times New Roman"/>
                    </w:rPr>
                  </w:pPr>
                  <w:r w:rsidRPr="000C3E90">
                    <w:rPr>
                      <w:rFonts w:eastAsia="Times New Roman"/>
                      <w:rtl/>
                    </w:rPr>
                    <w:t>קיץ </w:t>
                  </w:r>
                  <w:r w:rsidRPr="000C3E90">
                    <w:rPr>
                      <w:rFonts w:eastAsia="Times New Roman"/>
                    </w:rPr>
                    <w:t>1983 , </w:t>
                  </w:r>
                  <w:proofErr w:type="spellStart"/>
                  <w:r w:rsidRPr="000C3E90">
                    <w:rPr>
                      <w:rFonts w:eastAsia="Times New Roman"/>
                      <w:rtl/>
                    </w:rPr>
                    <w:t>גליון</w:t>
                  </w:r>
                  <w:proofErr w:type="spellEnd"/>
                  <w:r w:rsidRPr="000C3E90">
                    <w:rPr>
                      <w:rFonts w:eastAsia="Times New Roman"/>
                      <w:rtl/>
                    </w:rPr>
                    <w:t> </w:t>
                  </w:r>
                  <w:r w:rsidRPr="000C3E90">
                    <w:rPr>
                      <w:rFonts w:eastAsia="Times New Roman"/>
                    </w:rPr>
                    <w:t>12</w:t>
                  </w:r>
                </w:p>
              </w:tc>
            </w:tr>
            <w:tr w:rsidR="000C3E90" w:rsidRPr="000C3E90">
              <w:trPr>
                <w:trHeight w:val="165"/>
                <w:tblCellSpacing w:w="0" w:type="dxa"/>
                <w:jc w:val="right"/>
              </w:trPr>
              <w:tc>
                <w:tcPr>
                  <w:tcW w:w="0" w:type="auto"/>
                  <w:shd w:val="clear" w:color="auto" w:fill="FFFFFF"/>
                  <w:noWrap/>
                  <w:tcMar>
                    <w:top w:w="0" w:type="dxa"/>
                    <w:left w:w="30" w:type="dxa"/>
                    <w:bottom w:w="0" w:type="dxa"/>
                    <w:right w:w="30" w:type="dxa"/>
                  </w:tcMar>
                  <w:hideMark/>
                </w:tcPr>
                <w:p w:rsidR="000C3E90" w:rsidRPr="000C3E90" w:rsidRDefault="000C3E90" w:rsidP="000C3E90">
                  <w:pPr>
                    <w:rPr>
                      <w:rFonts w:eastAsia="Times New Roman"/>
                    </w:rPr>
                  </w:pPr>
                  <w:r w:rsidRPr="000C3E90">
                    <w:rPr>
                      <w:rFonts w:eastAsia="Times New Roman"/>
                      <w:rtl/>
                    </w:rPr>
                    <w:t>שם כתב העת</w:t>
                  </w:r>
                  <w:r w:rsidRPr="000C3E90">
                    <w:rPr>
                      <w:rFonts w:eastAsia="Times New Roman"/>
                    </w:rPr>
                    <w:t xml:space="preserve">: </w:t>
                  </w:r>
                </w:p>
              </w:tc>
              <w:tc>
                <w:tcPr>
                  <w:tcW w:w="0" w:type="auto"/>
                  <w:shd w:val="clear" w:color="auto" w:fill="FFFFFF"/>
                  <w:tcMar>
                    <w:top w:w="0" w:type="dxa"/>
                    <w:left w:w="30" w:type="dxa"/>
                    <w:bottom w:w="0" w:type="dxa"/>
                    <w:right w:w="30" w:type="dxa"/>
                  </w:tcMar>
                  <w:vAlign w:val="center"/>
                  <w:hideMark/>
                </w:tcPr>
                <w:p w:rsidR="000C3E90" w:rsidRPr="000C3E90" w:rsidRDefault="000C3E90" w:rsidP="000C3E90">
                  <w:pPr>
                    <w:rPr>
                      <w:rFonts w:eastAsia="Times New Roman"/>
                    </w:rPr>
                  </w:pPr>
                  <w:hyperlink r:id="rId6" w:tgtFrame="_top" w:history="1">
                    <w:r w:rsidRPr="000C3E90">
                      <w:rPr>
                        <w:rStyle w:val="Hyperlink"/>
                        <w:rFonts w:eastAsia="Times New Roman"/>
                        <w:rtl/>
                      </w:rPr>
                      <w:t>זמנים : רבעון להיסטוריה</w:t>
                    </w:r>
                  </w:hyperlink>
                </w:p>
              </w:tc>
            </w:tr>
            <w:tr w:rsidR="000C3E90" w:rsidRPr="000C3E90">
              <w:trPr>
                <w:trHeight w:val="165"/>
                <w:tblCellSpacing w:w="0" w:type="dxa"/>
                <w:jc w:val="right"/>
              </w:trPr>
              <w:tc>
                <w:tcPr>
                  <w:tcW w:w="0" w:type="auto"/>
                  <w:shd w:val="clear" w:color="auto" w:fill="FFFFFF"/>
                  <w:noWrap/>
                  <w:tcMar>
                    <w:top w:w="0" w:type="dxa"/>
                    <w:left w:w="30" w:type="dxa"/>
                    <w:bottom w:w="0" w:type="dxa"/>
                    <w:right w:w="30" w:type="dxa"/>
                  </w:tcMar>
                  <w:hideMark/>
                </w:tcPr>
                <w:p w:rsidR="000C3E90" w:rsidRPr="000C3E90" w:rsidRDefault="000C3E90" w:rsidP="000C3E90">
                  <w:pPr>
                    <w:rPr>
                      <w:rFonts w:eastAsia="Times New Roman"/>
                    </w:rPr>
                  </w:pPr>
                  <w:r w:rsidRPr="000C3E90">
                    <w:rPr>
                      <w:rFonts w:eastAsia="Times New Roman"/>
                      <w:rtl/>
                    </w:rPr>
                    <w:t xml:space="preserve">בעלי זכויות </w:t>
                  </w:r>
                  <w:r w:rsidRPr="000C3E90">
                    <w:rPr>
                      <w:rFonts w:eastAsia="Times New Roman"/>
                    </w:rPr>
                    <w:t>:</w:t>
                  </w:r>
                </w:p>
              </w:tc>
              <w:tc>
                <w:tcPr>
                  <w:tcW w:w="0" w:type="auto"/>
                  <w:shd w:val="clear" w:color="auto" w:fill="FFFFFF"/>
                  <w:tcMar>
                    <w:top w:w="0" w:type="dxa"/>
                    <w:left w:w="30" w:type="dxa"/>
                    <w:bottom w:w="0" w:type="dxa"/>
                    <w:right w:w="30" w:type="dxa"/>
                  </w:tcMar>
                  <w:vAlign w:val="center"/>
                  <w:hideMark/>
                </w:tcPr>
                <w:p w:rsidR="000C3E90" w:rsidRPr="000C3E90" w:rsidRDefault="000C3E90" w:rsidP="000C3E90">
                  <w:pPr>
                    <w:rPr>
                      <w:rFonts w:eastAsia="Times New Roman"/>
                    </w:rPr>
                  </w:pPr>
                  <w:hyperlink r:id="rId7" w:tgtFrame="_blank" w:history="1">
                    <w:r w:rsidRPr="000C3E90">
                      <w:rPr>
                        <w:rStyle w:val="Hyperlink"/>
                        <w:rFonts w:eastAsia="Times New Roman"/>
                        <w:rtl/>
                      </w:rPr>
                      <w:t>אוניברסיטת תל אביב</w:t>
                    </w:r>
                  </w:hyperlink>
                  <w:r w:rsidRPr="000C3E90">
                    <w:rPr>
                      <w:rFonts w:eastAsia="Times New Roman"/>
                    </w:rPr>
                    <w:t xml:space="preserve">; </w:t>
                  </w:r>
                  <w:hyperlink r:id="rId8" w:tgtFrame="_blank" w:history="1">
                    <w:r w:rsidRPr="000C3E90">
                      <w:rPr>
                        <w:rStyle w:val="Hyperlink"/>
                        <w:rFonts w:eastAsia="Times New Roman"/>
                        <w:rtl/>
                      </w:rPr>
                      <w:t>מרכז זלמן שזר לחקר תולדות העם היהודי</w:t>
                    </w:r>
                  </w:hyperlink>
                  <w:r w:rsidRPr="000C3E90">
                    <w:rPr>
                      <w:rFonts w:eastAsia="Times New Roman"/>
                    </w:rPr>
                    <w:t xml:space="preserve">; </w:t>
                  </w:r>
                  <w:hyperlink r:id="rId9" w:tgtFrame="_blank" w:history="1">
                    <w:r w:rsidRPr="000C3E90">
                      <w:rPr>
                        <w:rStyle w:val="Hyperlink"/>
                        <w:rFonts w:eastAsia="Times New Roman"/>
                        <w:rtl/>
                      </w:rPr>
                      <w:t>האוניברסיטה הפתוחה</w:t>
                    </w:r>
                  </w:hyperlink>
                </w:p>
              </w:tc>
            </w:tr>
            <w:tr w:rsidR="000C3E90" w:rsidRPr="000C3E90">
              <w:trPr>
                <w:trHeight w:val="165"/>
                <w:tblCellSpacing w:w="0" w:type="dxa"/>
                <w:jc w:val="right"/>
              </w:trPr>
              <w:tc>
                <w:tcPr>
                  <w:tcW w:w="0" w:type="auto"/>
                  <w:shd w:val="clear" w:color="auto" w:fill="FFFFFF"/>
                  <w:noWrap/>
                  <w:tcMar>
                    <w:top w:w="0" w:type="dxa"/>
                    <w:left w:w="30" w:type="dxa"/>
                    <w:bottom w:w="0" w:type="dxa"/>
                    <w:right w:w="30" w:type="dxa"/>
                  </w:tcMar>
                  <w:hideMark/>
                </w:tcPr>
                <w:p w:rsidR="000C3E90" w:rsidRPr="000C3E90" w:rsidRDefault="000C3E90" w:rsidP="000C3E90">
                  <w:pPr>
                    <w:rPr>
                      <w:rFonts w:eastAsia="Times New Roman"/>
                    </w:rPr>
                  </w:pPr>
                  <w:r w:rsidRPr="000C3E90">
                    <w:rPr>
                      <w:rFonts w:eastAsia="Times New Roman"/>
                      <w:rtl/>
                    </w:rPr>
                    <w:t>הוצאה לאור</w:t>
                  </w:r>
                  <w:r w:rsidRPr="000C3E90">
                    <w:rPr>
                      <w:rFonts w:eastAsia="Times New Roman"/>
                    </w:rPr>
                    <w:t xml:space="preserve">: </w:t>
                  </w:r>
                </w:p>
              </w:tc>
              <w:tc>
                <w:tcPr>
                  <w:tcW w:w="0" w:type="auto"/>
                  <w:shd w:val="clear" w:color="auto" w:fill="FFFFFF"/>
                  <w:tcMar>
                    <w:top w:w="0" w:type="dxa"/>
                    <w:left w:w="30" w:type="dxa"/>
                    <w:bottom w:w="0" w:type="dxa"/>
                    <w:right w:w="30" w:type="dxa"/>
                  </w:tcMar>
                  <w:vAlign w:val="center"/>
                  <w:hideMark/>
                </w:tcPr>
                <w:p w:rsidR="000C3E90" w:rsidRPr="000C3E90" w:rsidRDefault="000C3E90" w:rsidP="000C3E90">
                  <w:pPr>
                    <w:rPr>
                      <w:rFonts w:eastAsia="Times New Roman"/>
                    </w:rPr>
                  </w:pPr>
                  <w:hyperlink r:id="rId10" w:tgtFrame="_blank" w:history="1">
                    <w:r w:rsidRPr="000C3E90">
                      <w:rPr>
                        <w:rStyle w:val="Hyperlink"/>
                        <w:rFonts w:eastAsia="Times New Roman"/>
                        <w:rtl/>
                      </w:rPr>
                      <w:t>אוניברסיטת תל אביב</w:t>
                    </w:r>
                  </w:hyperlink>
                  <w:r w:rsidRPr="000C3E90">
                    <w:rPr>
                      <w:rFonts w:eastAsia="Times New Roman"/>
                    </w:rPr>
                    <w:t xml:space="preserve">; </w:t>
                  </w:r>
                  <w:hyperlink r:id="rId11" w:tgtFrame="_blank" w:history="1">
                    <w:r w:rsidRPr="000C3E90">
                      <w:rPr>
                        <w:rStyle w:val="Hyperlink"/>
                        <w:rFonts w:eastAsia="Times New Roman"/>
                        <w:rtl/>
                      </w:rPr>
                      <w:t>מרכז זלמן שזר לחקר תולדות העם היהודי</w:t>
                    </w:r>
                  </w:hyperlink>
                  <w:r w:rsidRPr="000C3E90">
                    <w:rPr>
                      <w:rFonts w:eastAsia="Times New Roman"/>
                    </w:rPr>
                    <w:t xml:space="preserve">; </w:t>
                  </w:r>
                  <w:hyperlink r:id="rId12" w:tgtFrame="_blank" w:history="1">
                    <w:r w:rsidRPr="000C3E90">
                      <w:rPr>
                        <w:rStyle w:val="Hyperlink"/>
                        <w:rFonts w:eastAsia="Times New Roman"/>
                        <w:rtl/>
                      </w:rPr>
                      <w:t>האוניברסיטה הפתוחה</w:t>
                    </w:r>
                  </w:hyperlink>
                </w:p>
              </w:tc>
            </w:tr>
            <w:tr w:rsidR="000C3E90" w:rsidRPr="000C3E90">
              <w:trPr>
                <w:trHeight w:val="165"/>
                <w:tblCellSpacing w:w="0" w:type="dxa"/>
                <w:jc w:val="right"/>
              </w:trPr>
              <w:tc>
                <w:tcPr>
                  <w:tcW w:w="0" w:type="auto"/>
                  <w:shd w:val="clear" w:color="auto" w:fill="FFFFFF"/>
                  <w:noWrap/>
                  <w:tcMar>
                    <w:top w:w="0" w:type="dxa"/>
                    <w:left w:w="30" w:type="dxa"/>
                    <w:bottom w:w="0" w:type="dxa"/>
                    <w:right w:w="30" w:type="dxa"/>
                  </w:tcMar>
                  <w:hideMark/>
                </w:tcPr>
                <w:p w:rsidR="000C3E90" w:rsidRPr="000C3E90" w:rsidRDefault="000C3E90" w:rsidP="000C3E90">
                  <w:pPr>
                    <w:rPr>
                      <w:rFonts w:eastAsia="Times New Roman"/>
                    </w:rPr>
                  </w:pPr>
                  <w:r w:rsidRPr="000C3E90">
                    <w:rPr>
                      <w:rFonts w:eastAsia="Times New Roman"/>
                      <w:rtl/>
                    </w:rPr>
                    <w:t>הערות</w:t>
                  </w:r>
                  <w:r w:rsidRPr="000C3E90">
                    <w:rPr>
                      <w:rFonts w:eastAsia="Times New Roman"/>
                    </w:rPr>
                    <w:t>:</w:t>
                  </w:r>
                </w:p>
              </w:tc>
              <w:tc>
                <w:tcPr>
                  <w:tcW w:w="0" w:type="auto"/>
                  <w:shd w:val="clear" w:color="auto" w:fill="FFFFFF"/>
                  <w:tcMar>
                    <w:top w:w="0" w:type="dxa"/>
                    <w:left w:w="30" w:type="dxa"/>
                    <w:bottom w:w="0" w:type="dxa"/>
                    <w:right w:w="30" w:type="dxa"/>
                  </w:tcMar>
                  <w:vAlign w:val="center"/>
                  <w:hideMark/>
                </w:tcPr>
                <w:p w:rsidR="000C3E90" w:rsidRPr="000C3E90" w:rsidRDefault="000C3E90" w:rsidP="000C3E90">
                  <w:pPr>
                    <w:rPr>
                      <w:rFonts w:eastAsia="Times New Roman"/>
                    </w:rPr>
                  </w:pPr>
                  <w:r w:rsidRPr="000C3E90">
                    <w:rPr>
                      <w:rFonts w:eastAsia="Times New Roman"/>
                    </w:rPr>
                    <w:t xml:space="preserve">1. </w:t>
                  </w:r>
                  <w:r w:rsidRPr="000C3E90">
                    <w:rPr>
                      <w:rFonts w:eastAsia="Times New Roman"/>
                      <w:rtl/>
                    </w:rPr>
                    <w:t xml:space="preserve">הרבעון להיסטוריה זמנים נוסד בבית-הספר להיסטוריה באוניברסיטת תל-אביב ביזמתם של הפרופסורים צבי </w:t>
                  </w:r>
                  <w:proofErr w:type="spellStart"/>
                  <w:r w:rsidRPr="000C3E90">
                    <w:rPr>
                      <w:rFonts w:eastAsia="Times New Roman"/>
                      <w:rtl/>
                    </w:rPr>
                    <w:t>יעבץ</w:t>
                  </w:r>
                  <w:proofErr w:type="spellEnd"/>
                  <w:r w:rsidRPr="000C3E90">
                    <w:rPr>
                      <w:rFonts w:eastAsia="Times New Roman"/>
                      <w:rtl/>
                    </w:rPr>
                    <w:t xml:space="preserve">, שאול </w:t>
                  </w:r>
                  <w:proofErr w:type="spellStart"/>
                  <w:r w:rsidRPr="000C3E90">
                    <w:rPr>
                      <w:rFonts w:eastAsia="Times New Roman"/>
                      <w:rtl/>
                    </w:rPr>
                    <w:t>פרידלנדר</w:t>
                  </w:r>
                  <w:proofErr w:type="spellEnd"/>
                  <w:r w:rsidRPr="000C3E90">
                    <w:rPr>
                      <w:rFonts w:eastAsia="Times New Roman"/>
                      <w:rtl/>
                    </w:rPr>
                    <w:t xml:space="preserve"> וחיים שקד בשנת 1979. שנים רבות ערכה את כתב העת ד"ר עדית </w:t>
                  </w:r>
                  <w:proofErr w:type="spellStart"/>
                  <w:r w:rsidRPr="000C3E90">
                    <w:rPr>
                      <w:rFonts w:eastAsia="Times New Roman"/>
                      <w:rtl/>
                    </w:rPr>
                    <w:t>זרטל</w:t>
                  </w:r>
                  <w:proofErr w:type="spellEnd"/>
                  <w:r w:rsidRPr="000C3E90">
                    <w:rPr>
                      <w:rFonts w:eastAsia="Times New Roman"/>
                      <w:rtl/>
                    </w:rPr>
                    <w:t>, ואחריה ד"ר נעמה שפי, והוצאת זמורה-ביתן הוציאה אותו לאור. החל מגיליון 86 (אביב 2004) יוצא כתב העת בשיתוף פעולה בין בית-הספר להיסטוריה באוניברסיטת תל-אביב, המחלקה להיסטוריה, פילוסופיה ומדעי היהדות באוניברסיטה הפתוחה ומרכז זלמן שזר לתולדות ישראל, ובחסות החברה ההיסטורית הישראלית. עורכים את כתב העת מרצים מן החוגים להיסטוריה באוניברסיטת תל-אביב ובאוניברסיטה הפתוחה, ובראשם פרופסור מירי אליאב-</w:t>
                  </w:r>
                  <w:proofErr w:type="spellStart"/>
                  <w:r w:rsidRPr="000C3E90">
                    <w:rPr>
                      <w:rFonts w:eastAsia="Times New Roman"/>
                      <w:rtl/>
                    </w:rPr>
                    <w:t>פלדון</w:t>
                  </w:r>
                  <w:proofErr w:type="spellEnd"/>
                  <w:r w:rsidRPr="000C3E90">
                    <w:rPr>
                      <w:rFonts w:eastAsia="Times New Roman"/>
                      <w:rtl/>
                    </w:rPr>
                    <w:t>, ובית ההוצאה לאור של האוניברסיטה הפתוחה הוא המו"ל של הרבעון להיסטוריה במתכונתו החדשה</w:t>
                  </w:r>
                  <w:r w:rsidRPr="000C3E90">
                    <w:rPr>
                      <w:rFonts w:eastAsia="Times New Roman"/>
                    </w:rPr>
                    <w:t xml:space="preserve">. </w:t>
                  </w:r>
                </w:p>
              </w:tc>
            </w:tr>
          </w:tbl>
          <w:p w:rsidR="000C3E90" w:rsidRPr="000C3E90" w:rsidRDefault="000C3E90" w:rsidP="000C3E90">
            <w:pPr>
              <w:rPr>
                <w:rFonts w:eastAsia="Times New Roman"/>
                <w:noProof/>
                <w:color w:val="B22222"/>
              </w:rPr>
            </w:pPr>
          </w:p>
        </w:tc>
      </w:tr>
    </w:tbl>
    <w:p w:rsidR="000C3E90" w:rsidRPr="000C3E90" w:rsidRDefault="000C3E90" w:rsidP="000C3E90"/>
    <w:sectPr w:rsidR="000C3E90" w:rsidRPr="000C3E90" w:rsidSect="006274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90"/>
    <w:rsid w:val="000C3E90"/>
    <w:rsid w:val="001538D7"/>
    <w:rsid w:val="002E73E8"/>
    <w:rsid w:val="00627418"/>
    <w:rsid w:val="00A7455F"/>
    <w:rsid w:val="00ED3B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6C10A-80A2-4F85-BBDB-F6236B65B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avid" w:eastAsiaTheme="minorHAnsi" w:hAnsi="David" w:cs="David"/>
        <w:sz w:val="24"/>
        <w:szCs w:val="24"/>
        <w:lang w:val="en-US" w:eastAsia="en-US" w:bidi="he-IL"/>
      </w:rPr>
    </w:rPrDefault>
    <w:pPrDefault>
      <w:pPr>
        <w:bidi/>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0C3E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196430">
      <w:bodyDiv w:val="1"/>
      <w:marLeft w:val="0"/>
      <w:marRight w:val="0"/>
      <w:marTop w:val="0"/>
      <w:marBottom w:val="0"/>
      <w:divBdr>
        <w:top w:val="none" w:sz="0" w:space="0" w:color="auto"/>
        <w:left w:val="none" w:sz="0" w:space="0" w:color="auto"/>
        <w:bottom w:val="none" w:sz="0" w:space="0" w:color="auto"/>
        <w:right w:val="none" w:sz="0" w:space="0" w:color="auto"/>
      </w:divBdr>
    </w:div>
    <w:div w:id="213794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zar.org.i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au.ac.il/" TargetMode="External"/><Relationship Id="rId12" Type="http://schemas.openxmlformats.org/officeDocument/2006/relationships/hyperlink" Target="http://www.openu.ac.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b.cet.ac.il/pages/sub.asp?source=832" TargetMode="External"/><Relationship Id="rId11" Type="http://schemas.openxmlformats.org/officeDocument/2006/relationships/hyperlink" Target="http://www.shazar.org.il/" TargetMode="External"/><Relationship Id="rId5" Type="http://schemas.openxmlformats.org/officeDocument/2006/relationships/hyperlink" Target="http://lib.cet.ac.il/pages/sub.asp?author=3272" TargetMode="External"/><Relationship Id="rId10" Type="http://schemas.openxmlformats.org/officeDocument/2006/relationships/hyperlink" Target="http://www.tau.ac.il/" TargetMode="External"/><Relationship Id="rId4" Type="http://schemas.openxmlformats.org/officeDocument/2006/relationships/hyperlink" Target="http://lib.cet.ac.il/pages/item.asp?item=17291" TargetMode="External"/><Relationship Id="rId9" Type="http://schemas.openxmlformats.org/officeDocument/2006/relationships/hyperlink" Target="http://www.openu.ac.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907</Words>
  <Characters>4540</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בן לב-קדש</dc:creator>
  <cp:keywords/>
  <dc:description/>
  <cp:lastModifiedBy>בן לב-קדש</cp:lastModifiedBy>
  <cp:revision>2</cp:revision>
  <dcterms:created xsi:type="dcterms:W3CDTF">2018-02-15T21:28:00Z</dcterms:created>
  <dcterms:modified xsi:type="dcterms:W3CDTF">2018-02-15T21:42:00Z</dcterms:modified>
</cp:coreProperties>
</file>