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43" w:rsidRDefault="00F803CE" w:rsidP="00F803CE">
      <w:pPr>
        <w:jc w:val="right"/>
        <w:rPr>
          <w:rFonts w:hint="cs"/>
          <w:rtl/>
        </w:rPr>
      </w:pPr>
      <w:r>
        <w:fldChar w:fldCharType="begin"/>
      </w:r>
      <w:r>
        <w:instrText xml:space="preserve"> HYPERLINK "</w:instrText>
      </w:r>
      <w:r w:rsidRPr="00F803CE">
        <w:instrText>http://www.mkm-haifa.co.il/schools/alliance/upload/17122006_4760401.htm</w:instrText>
      </w:r>
      <w:r>
        <w:instrText xml:space="preserve">" </w:instrText>
      </w:r>
      <w:r>
        <w:fldChar w:fldCharType="separate"/>
      </w:r>
      <w:r w:rsidRPr="00606654">
        <w:rPr>
          <w:rStyle w:val="Hyperlink"/>
        </w:rPr>
        <w:t>http://www.mkm-haifa.co.il/schools/alliance/upload/17122006_4760401.htm</w:t>
      </w:r>
      <w:r>
        <w:fldChar w:fldCharType="end"/>
      </w:r>
    </w:p>
    <w:p w:rsidR="00F803CE" w:rsidRDefault="00F803CE">
      <w:pPr>
        <w:rPr>
          <w:rFonts w:hint="cs"/>
          <w:rtl/>
        </w:rPr>
      </w:pPr>
      <w:r>
        <w:rPr>
          <w:rFonts w:hint="cs"/>
          <w:rtl/>
        </w:rPr>
        <w:t>כפר הנוער אלוני יצחק</w:t>
      </w:r>
    </w:p>
    <w:tbl>
      <w:tblPr>
        <w:tblW w:w="5000" w:type="pct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03CE" w:rsidRPr="00F803CE" w:rsidTr="00F803CE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2"/>
              <w:gridCol w:w="664"/>
            </w:tblGrid>
            <w:tr w:rsidR="00F803CE" w:rsidRPr="00F803CE">
              <w:trPr>
                <w:tblCellSpacing w:w="0" w:type="dxa"/>
                <w:jc w:val="right"/>
              </w:trPr>
              <w:tc>
                <w:tcPr>
                  <w:tcW w:w="4600" w:type="pct"/>
                  <w:shd w:val="clear" w:color="auto" w:fill="A4C945"/>
                  <w:vAlign w:val="center"/>
                  <w:hideMark/>
                </w:tcPr>
                <w:p w:rsidR="00F803CE" w:rsidRPr="00F803CE" w:rsidRDefault="00F803CE" w:rsidP="00F803CE">
                  <w:pPr>
                    <w:spacing w:after="0" w:line="360" w:lineRule="auto"/>
                    <w:jc w:val="center"/>
                    <w:rPr>
                      <w:rFonts w:asciiTheme="minorBidi" w:eastAsia="Times New Roman" w:hAnsiTheme="minorBidi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sz w:val="28"/>
                      <w:szCs w:val="28"/>
                      <w:rtl/>
                      <w:lang w:val="en-US"/>
                    </w:rPr>
                    <w:t>"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ואם ישאל המלאך" / </w:t>
                  </w:r>
                  <w:proofErr w:type="spellStart"/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8"/>
                      <w:szCs w:val="28"/>
                      <w:rtl/>
                      <w:lang w:val="en-US"/>
                    </w:rPr>
                    <w:t>ח.נ.ביאליק</w:t>
                  </w:r>
                  <w:proofErr w:type="spellEnd"/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8"/>
                      <w:szCs w:val="28"/>
                      <w:rtl/>
                      <w:lang w:val="en-US"/>
                    </w:rPr>
                    <w:t xml:space="preserve"> (1905)</w:t>
                  </w:r>
                </w:p>
              </w:tc>
              <w:tc>
                <w:tcPr>
                  <w:tcW w:w="15" w:type="dxa"/>
                  <w:vAlign w:val="center"/>
                  <w:hideMark/>
                </w:tcPr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803CE" w:rsidRPr="00F803CE" w:rsidRDefault="00F803CE" w:rsidP="00F803CE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</w:p>
        </w:tc>
      </w:tr>
      <w:tr w:rsidR="00F803CE" w:rsidRPr="00F803CE" w:rsidTr="00F803CE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p w:rsidR="00F803CE" w:rsidRPr="00F803CE" w:rsidRDefault="00F803CE" w:rsidP="00F803CE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  <w:r w:rsidRPr="00F803CE">
              <w:rPr>
                <w:rFonts w:asciiTheme="minorBidi" w:eastAsia="Times New Roman" w:hAnsiTheme="minorBidi"/>
                <w:sz w:val="24"/>
                <w:szCs w:val="24"/>
                <w:lang w:val="en-US"/>
              </w:rPr>
              <w:t> </w:t>
            </w:r>
          </w:p>
        </w:tc>
      </w:tr>
      <w:tr w:rsidR="00F803CE" w:rsidRPr="00F803CE" w:rsidTr="00F803CE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803CE" w:rsidRPr="00F803C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803CE" w:rsidRPr="00F803CE" w:rsidRDefault="00F803CE" w:rsidP="00F803CE">
                  <w:pPr>
                    <w:spacing w:before="240" w:after="60" w:line="360" w:lineRule="auto"/>
                    <w:outlineLvl w:val="1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נושא השיר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ind w:left="360" w:hanging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·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השיר מתאר את</w:t>
                  </w:r>
                  <w:proofErr w:type="gramStart"/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קורות</w:t>
                  </w:r>
                  <w:proofErr w:type="gramEnd"/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חיי הדובר, באמצעות דיאלוג דמיוני בינו ובין מלאך.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ind w:left="360" w:hanging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·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השיר בודק את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u w:val="single"/>
                      <w:rtl/>
                      <w:lang w:val="en-US"/>
                    </w:rPr>
                    <w:t>מקורות שירתו של המשורר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ואת הקשר בין מקורות אלו לבין מצבו הנפשי.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ind w:left="360" w:hanging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·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המלאך שואל 4 שאלות קצרות, עליהן עונה הדובר באריכות רבה. השאלה הראשונה היא השאלה המרכזית, הנוגעת למקום הנשמה: "בני, נשמתך איה?" שאלה זו רומזת לבעיית הדובר, אשר נשמתו נעקרה מגופו, כלומר הוא סובל מפירוד כואב שבין הגוף והנפש, המ</w:t>
                  </w:r>
                  <w:r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עיד ככל הנראה על מצוקה רוחנית.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כל</w:t>
                  </w:r>
                  <w:r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השאלות חוזרות ומעלות ספק ב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המשך קיומה של נפש הדובר.</w:t>
                  </w: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השיר מתאר את מסלול מעופה של נשמתו באמצעות אמצעי אמנותי בולט: תבנית </w:t>
                  </w: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של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שאלות</w:t>
                  </w: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 קצרות,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ו</w:t>
                  </w: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ה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תשובות </w:t>
                  </w: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עליהן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עמוסות </w:t>
                  </w: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ב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משמעויות מטאפוריות. </w:t>
                  </w:r>
                </w:p>
                <w:p w:rsidR="00F803CE" w:rsidRPr="00F803CE" w:rsidRDefault="00F803CE" w:rsidP="00F803CE">
                  <w:pPr>
                    <w:spacing w:before="240" w:after="60" w:line="360" w:lineRule="auto"/>
                    <w:outlineLvl w:val="1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בית א': מחוז הילדות והכמיהה לטבע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הבית הראשון מתחלק לשני חלקים: אקספוזיציה (מיצג רקע) ותחילת ההתרחשות.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האקספוזיציה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ind w:left="360" w:hanging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·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t>תיאור המקום: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"כפר שאנן, מוקף חומת יערים"; מעל הכפר </w:t>
                  </w:r>
                  <w:r w:rsidR="009C05D9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–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רקיע</w:t>
                  </w:r>
                  <w:r w:rsidR="009C05D9" w:rsidRP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u w:val="single"/>
                      <w:rtl/>
                      <w:lang w:val="en-US"/>
                    </w:rPr>
                    <w:t>ללא גבולות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ind w:left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ניגוד עקרוני בין הכפר מוקף חומת </w:t>
                  </w:r>
                  <w:proofErr w:type="spellStart"/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היערים</w:t>
                  </w:r>
                  <w:proofErr w:type="spellEnd"/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(אסוציאציה לכלא מוקף חומה) לעומת השמיים חסרי הגבולות (אסוציאציה לחופש).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ind w:left="360" w:hanging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·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t>תיאור הזמן: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"בצוהרי יום קיץ".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ind w:left="360" w:hanging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·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t>הדמויות: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1. הילד (הדובר).  2. העב (ענן).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ind w:left="360" w:hanging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·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t>מצב הדמויות: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 הילד והעב הקטנה מצויים לבדם. הוא "ילד עזוב לנפשו, רך ויחיד וחולם" </w:t>
                  </w:r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ש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מצוי בתוך גבולות הכפר</w:t>
                  </w:r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,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 ואילו היא "היחידה, הזכה, הברורה" שטה לה בחופשיות בשמיים הפתוחים.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ההתרחשות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"פעם אחת התעלף כל העולם וישתוק", מדובר ברגע מאוד מיוחד – רגע בו העולם כאילו נעצר מלכת, מצב של רגישות אדירה ותשומת-לב מקסימלית, בו הגיע הילד הדובר להכרה</w:t>
                  </w:r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,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כי הוא מקנא בעב הקטנה ומשתוקק אל החופש שהיא מסמלת.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lastRenderedPageBreak/>
                    <w:t>ההתרחשות מתארת התלכדות בין נפשו של הילד (לא גופו) ובין העב. הילד נמשך אל חוסר הגבולות שבשמים, לעומת הגבולות (חומת יערים) המקיפים אותו.</w:t>
                  </w:r>
                </w:p>
                <w:p w:rsidR="00F803CE" w:rsidRPr="00F803CE" w:rsidRDefault="00F803CE" w:rsidP="009C05D9">
                  <w:pPr>
                    <w:spacing w:after="0" w:line="360" w:lineRule="auto"/>
                    <w:ind w:left="360" w:hanging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    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t>משמעות העב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</w:t>
                  </w:r>
                  <w:proofErr w:type="spellStart"/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העב</w:t>
                  </w:r>
                  <w:proofErr w:type="spellEnd"/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 היא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סמל לשאיפות הבלתי מושגות של הדובר כילד; דינה </w:t>
                  </w:r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של העב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להיעלם, בדיוק כמו שאיפותיו הכמוסות של הדובר.</w:t>
                  </w:r>
                </w:p>
                <w:p w:rsidR="00F803CE" w:rsidRPr="00F803CE" w:rsidRDefault="00F803CE" w:rsidP="00F803CE">
                  <w:pPr>
                    <w:spacing w:before="240" w:after="60" w:line="360" w:lineRule="auto"/>
                    <w:outlineLvl w:val="1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בית ב': טבע</w:t>
                  </w:r>
                </w:p>
                <w:p w:rsidR="00F803CE" w:rsidRPr="00F803CE" w:rsidRDefault="00F803CE" w:rsidP="009C05D9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הנשמה ניצלת ע"י קרן אור (האור כסמל לאושר, יופי, חיים) – "את נשמתי הצילה קרן פז  רחמנייה". היא רוכבת על כנפי הזוהר, מפזזת (רוקדת) כפרפר לבן. משם היא יוצאת לחפש את פנינת הטל בין  הדשאים (מטאפורה למשהו יפה, קסום, יקר-ערך, מלא חיים) וכשנראה כי באה הנשמה על סיפוקה, זולגת דמעה "זכה ותמה" </w:t>
                  </w:r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על לחי הדובר,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המזעזעת את הקרן וגורמת לנפילת הנשמה ולצניחתה לתוך הדמעה. זהו ת</w:t>
                  </w:r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י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אור ציורי המלווה את מסלול הנפש המחפשת שקט ושלווה, </w:t>
                  </w:r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ובמקום זאת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מוצאת </w:t>
                  </w:r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את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עצמה שוקעת בדמעה, </w:t>
                  </w:r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שעלולה להתייבש ובכך היא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מאיימת על קיומה של הנפש המוטלת בתוכה.</w:t>
                  </w:r>
                </w:p>
                <w:p w:rsidR="00F803CE" w:rsidRPr="00F803CE" w:rsidRDefault="00F803CE" w:rsidP="009C05D9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מוטיב הארעיות (הזמניות): הקרן, העב, הטל - כל אלה אינם מתקיימים לעד. אלו תופעות טבע חולפות</w:t>
                  </w:r>
                  <w:r w:rsidR="009C05D9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,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שלא ניתן להישען עליהן לאורך זמן. הטל מתייבש ועל-כן, האם גם דינה של הנפש לחדול מלהתקיים?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outlineLvl w:val="3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בית ג': בית המדרש</w:t>
                  </w:r>
                </w:p>
                <w:p w:rsidR="00F803CE" w:rsidRPr="00F803CE" w:rsidRDefault="001D7FD8" w:rsidP="001D7FD8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בסוף בית ב' </w:t>
                  </w:r>
                  <w:r w:rsidR="00F803CE"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נשמתו של המשורר צנחה ו"שקעה" בדמעה</w:t>
                  </w:r>
                  <w:r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, אך </w:t>
                  </w:r>
                  <w:r w:rsidR="00F803CE"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הנשמה לא יבשה, אלא נשרה על דף גמרא, בבית המדרש של אבות אבותיו ש</w:t>
                  </w:r>
                  <w:r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ל הדובר. </w:t>
                  </w:r>
                  <w:r w:rsidR="00F803CE"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בית-המדרש, המסמל את העולם הישן, שהפך במידה רבה לבלתי-רלוונטי לבני הדור הצעיר, הנמשכים לעולם המודרני והחילוני (השיר "לבדי").  </w:t>
                  </w:r>
                </w:p>
                <w:p w:rsidR="00F803CE" w:rsidRPr="00F803CE" w:rsidRDefault="00F803CE" w:rsidP="001D7FD8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ניתן ללמוד על היחס של </w:t>
                  </w:r>
                  <w:r w:rsidR="001D7FD8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הדובר-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הנער לגמרא</w:t>
                  </w:r>
                  <w:r w:rsidR="001D7FD8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 מתוך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: "במעי אותיות מתות בדד פרפרה נשמתי".</w:t>
                  </w:r>
                  <w:r w:rsidR="001D7FD8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הנער חש בדידות מעיקה וחונקת בין דפי הגמרא</w:t>
                  </w:r>
                  <w:r w:rsidR="001D7FD8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,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שלא מעניינים אותו. הוא מרגיש שנשמתו גוססת בשל היותה בין אותיות מתות (סמל למות הדת), בעוד </w:t>
                  </w:r>
                  <w:r w:rsidR="001D7FD8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ש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היא כמהה לחופש</w:t>
                  </w:r>
                  <w:r w:rsidR="001D7FD8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,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הנמצא מחוץ לבית המדרש.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ניתן אולי לחשוב שבין הציציות הפסולות ומסורת הלימודים העתיקה (שאין עמה עניין והנאה) תיחנק הנשמה - אך לא!</w:t>
                  </w:r>
                </w:p>
                <w:p w:rsidR="00F803CE" w:rsidRPr="00F803CE" w:rsidRDefault="00F803CE" w:rsidP="00F803CE">
                  <w:pPr>
                    <w:spacing w:before="240" w:after="60" w:line="360" w:lineRule="auto"/>
                    <w:outlineLvl w:val="1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בית ד': חווית היעדר האהבה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"באותיות המתות שירי חיים הקרו" (הקרו=מלשון מקור): דווקא באותיות המתות נולדו שירים חיים. כל חוויות ילדותו, חלומותיו ושאיפותיו פרצו אל תוך השיר.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 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lastRenderedPageBreak/>
                    <w:t>רק כאן מתברר שהשיר נסוב סביב 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מקור שירתו של המשורר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t>. (ארספואטיקה).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הדובר מזכיר את מקורות שירתו: כפר ילדותו, </w:t>
                  </w:r>
                  <w:r w:rsidR="001D7FD8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הטבע, חווית בית-המדרש. לאחר אלה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מצהיר הדובר</w:t>
                  </w:r>
                  <w:r w:rsidR="001D7FD8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,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שאין הוא יודע לשיר שירי אהבה, ככל הנראה משום שלא ידע אהבה בנעוריו ("הכניסיני תחת כנפך" - "אומרים יש אהבה בעולם – מה זאת אהבה?") המחסור בהתנסות האהבה של גיל הנעורים יוצר מצוקה, אשר בסופו של דבר גורמת לפריחת הנשמה מתוך הגמרא.</w:t>
                  </w:r>
                </w:p>
                <w:p w:rsidR="00F803CE" w:rsidRPr="00F803CE" w:rsidRDefault="00F803CE" w:rsidP="00F803CE">
                  <w:pPr>
                    <w:spacing w:before="240" w:after="60" w:line="360" w:lineRule="auto"/>
                    <w:outlineLvl w:val="1"/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סיכום: מקומה של הנשמה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בחלקו האחרון של השיר טמונה התשובה לשאלה: "בני, נשמתך איה?" מבית א'.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מקור כאבו של המשורר נחשף כאן: נשמתו אינה </w:t>
                  </w:r>
                  <w:proofErr w:type="spellStart"/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עימו</w:t>
                  </w:r>
                  <w:proofErr w:type="spellEnd"/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, שכן היא משוטטת בעולם ומתפללת על האהבה.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נשמתו של הדובר אינה מהווה חלק מהתפילה הקולקטיבית ("בהתפלל העולם עלי פגימת הלבנה" – בלילות של תחילת כל חודש, הציבור עסוק בתפילת "קידוש לבנה" – קבלת פני השכינה); לנשמה יש תפילה פרטית משלה ("מתרפקת, דופקת ובוכייה בחשאי, ומתפללה על האהבה"). ההקבלה בין תפילת הכלל לבין תפילת הפרט של הדובר</w:t>
                  </w:r>
                  <w:r w:rsidR="001D7FD8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,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מדגישה את חשיבות האהבה בחייו ואת שאיפתו לשלמות האהבה</w:t>
                  </w:r>
                  <w:r w:rsidR="001D7FD8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>,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 שתאפשר את אחדות גופו ונשמתו – אחדות שתשים קץ לייסוריו הקשים.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חשוב להדגיש: 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u w:val="single"/>
                      <w:rtl/>
                      <w:lang w:val="en-US"/>
                    </w:rPr>
                    <w:t>האהבה היא הדבר שחסר לדובר ולנשמתו, על מנת להגיע לסוג מסוים של שלמות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אמצעים אומנותיים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rtl/>
                      <w:lang w:val="en-US"/>
                    </w:rPr>
                    <w:t>:</w:t>
                  </w:r>
                </w:p>
                <w:p w:rsidR="00F803CE" w:rsidRPr="00F803CE" w:rsidRDefault="00F803CE" w:rsidP="00F803CE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מבנה השיר – דיאלוג היפותטי (משוער) בין הדובר לבין מלאך דמיוני. אמצעי זה מאפשר דיון מפורט בתולדות חיי הדובר ובסיבות למצוקתו בהווה. 4 השאלות הן קצרות והתשובות עליהן ארוכות ומקיפות.</w:t>
                  </w:r>
                </w:p>
                <w:p w:rsidR="00F803CE" w:rsidRPr="00F803CE" w:rsidRDefault="00F803CE" w:rsidP="00F803CE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הטבע כמטאפורה למצב הנפש. באמצעות תיאורי הטבע הרבים, ניתן ביטוי ציורי-מקורי להלך הנפש של הדובר בשיר: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ind w:left="1440" w:hanging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א)      "כפר שאנן, מוקף חומת יערים". ב) "פעם אחת התעלף כל העולם וישתוק". ג) "את נשמתי הצילה קרן פז</w:t>
                  </w:r>
                  <w:r w:rsidR="001D7FD8">
                    <w:rPr>
                      <w:rFonts w:asciiTheme="minorBidi" w:eastAsia="Times New Roman" w:hAnsiTheme="minorBidi" w:hint="cs"/>
                      <w:sz w:val="24"/>
                      <w:szCs w:val="24"/>
                      <w:rtl/>
                      <w:lang w:val="en-US"/>
                    </w:rPr>
                    <w:t xml:space="preserve"> </w:t>
                  </w: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רחמנייה, ועל כנפי הזוהר ימים רבים פיזזה". ד)  "במעי אותיות מתות בדד פרפרה נשמתי".</w:t>
                  </w:r>
                </w:p>
                <w:p w:rsidR="00F803CE" w:rsidRPr="00F803CE" w:rsidRDefault="00F803CE" w:rsidP="00F803CE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דימויים: א) "ונפשו יצאה בראותו, כצאת יונה משובכה". ב) "ימים רבים פיזזה כציפורת לבנה".</w:t>
                  </w:r>
                </w:p>
                <w:p w:rsidR="00F803CE" w:rsidRPr="00F803CE" w:rsidRDefault="00F803CE" w:rsidP="00F803CE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חזרות של מלים / מוטיבים המדגישים את מצב הנשמה: בדד, פעם, פרפרה, דמעה, גמרא, מוות, אהבה.</w:t>
                  </w:r>
                </w:p>
                <w:p w:rsidR="00F803CE" w:rsidRPr="00F803CE" w:rsidRDefault="00F803CE" w:rsidP="00F803CE">
                  <w:pPr>
                    <w:spacing w:after="0" w:line="360" w:lineRule="auto"/>
                    <w:ind w:left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  <w:t> </w:t>
                  </w:r>
                </w:p>
                <w:p w:rsidR="00F803CE" w:rsidRPr="00F803CE" w:rsidRDefault="00F803CE" w:rsidP="001D7FD8">
                  <w:pPr>
                    <w:spacing w:after="0" w:line="360" w:lineRule="auto"/>
                    <w:ind w:left="360" w:hanging="360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lastRenderedPageBreak/>
                    <w:t> </w:t>
                  </w:r>
                  <w:r w:rsidRPr="00F803CE">
                    <w:rPr>
                      <w:rFonts w:asciiTheme="minorBidi" w:eastAsia="Times New Roman" w:hAnsiTheme="minorBidi"/>
                      <w:b/>
                      <w:bCs/>
                      <w:sz w:val="24"/>
                      <w:szCs w:val="24"/>
                      <w:u w:val="single"/>
                      <w:rtl/>
                      <w:lang w:val="en-US"/>
                    </w:rPr>
                    <w:t>מקורות</w:t>
                  </w:r>
                </w:p>
                <w:p w:rsidR="00F803CE" w:rsidRPr="00F803CE" w:rsidRDefault="00F803CE" w:rsidP="00F803CE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ביאליק, חיים נחמן. "השירים" (בעריכת אבנר </w:t>
                  </w:r>
                  <w:proofErr w:type="spellStart"/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הולצמן</w:t>
                  </w:r>
                  <w:proofErr w:type="spellEnd"/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). דביר, 2004.</w:t>
                  </w:r>
                </w:p>
                <w:p w:rsidR="00F803CE" w:rsidRPr="00F803CE" w:rsidRDefault="00F803CE" w:rsidP="00F803CE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צין, נורית. "ושוב יפרח אביב" – שירי ביאליק לבגרות. צין, 1994.</w:t>
                  </w:r>
                </w:p>
                <w:p w:rsidR="00F803CE" w:rsidRPr="00F803CE" w:rsidRDefault="00F803CE" w:rsidP="00F803CE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 xml:space="preserve">צמח, עדי. "הלביא המסתתר". </w:t>
                  </w:r>
                  <w:proofErr w:type="spellStart"/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קרית</w:t>
                  </w:r>
                  <w:proofErr w:type="spellEnd"/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-ספר, 1988.</w:t>
                  </w:r>
                </w:p>
                <w:p w:rsidR="00F803CE" w:rsidRPr="00F803CE" w:rsidRDefault="00F803CE" w:rsidP="00F803CE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inorBidi" w:eastAsia="Times New Roman" w:hAnsiTheme="minorBidi"/>
                      <w:sz w:val="24"/>
                      <w:szCs w:val="24"/>
                      <w:lang w:val="en-US"/>
                    </w:rPr>
                  </w:pPr>
                  <w:r w:rsidRPr="00F803CE">
                    <w:rPr>
                      <w:rFonts w:asciiTheme="minorBidi" w:eastAsia="Times New Roman" w:hAnsiTheme="minorBidi"/>
                      <w:sz w:val="24"/>
                      <w:szCs w:val="24"/>
                      <w:rtl/>
                      <w:lang w:val="en-US"/>
                    </w:rPr>
                    <w:t>רובינשטיין, בלהה. "שירים ומה שביניהם". עם עובד, 2001.</w:t>
                  </w:r>
                </w:p>
              </w:tc>
            </w:tr>
          </w:tbl>
          <w:p w:rsidR="00F803CE" w:rsidRPr="00F803CE" w:rsidRDefault="00F803CE" w:rsidP="00F803CE">
            <w:pPr>
              <w:spacing w:after="0" w:line="360" w:lineRule="auto"/>
              <w:rPr>
                <w:rFonts w:asciiTheme="minorBidi" w:eastAsia="Times New Roman" w:hAnsiTheme="minorBidi"/>
                <w:sz w:val="24"/>
                <w:szCs w:val="24"/>
                <w:lang w:val="en-US"/>
              </w:rPr>
            </w:pPr>
          </w:p>
        </w:tc>
      </w:tr>
    </w:tbl>
    <w:p w:rsidR="00F803CE" w:rsidRDefault="00F803CE">
      <w:pPr>
        <w:rPr>
          <w:rFonts w:hint="cs"/>
          <w:rtl/>
          <w:lang w:val="en-US"/>
        </w:rPr>
      </w:pPr>
    </w:p>
    <w:p w:rsidR="001D7FD8" w:rsidRPr="00F803CE" w:rsidRDefault="001D7FD8">
      <w:pPr>
        <w:rPr>
          <w:rFonts w:hint="cs"/>
          <w:lang w:val="en-US"/>
        </w:rPr>
      </w:pPr>
      <w:r>
        <w:rPr>
          <w:rFonts w:hint="cs"/>
          <w:rtl/>
          <w:lang w:val="en-US"/>
        </w:rPr>
        <w:t xml:space="preserve">עריכה:  </w:t>
      </w:r>
      <w:bookmarkStart w:id="0" w:name="_GoBack"/>
      <w:bookmarkEnd w:id="0"/>
      <w:r>
        <w:rPr>
          <w:rFonts w:hint="cs"/>
          <w:rtl/>
          <w:lang w:val="en-US"/>
        </w:rPr>
        <w:t>דבורה לוי</w:t>
      </w:r>
    </w:p>
    <w:sectPr w:rsidR="001D7FD8" w:rsidRPr="00F803CE" w:rsidSect="006B7F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059"/>
    <w:multiLevelType w:val="multilevel"/>
    <w:tmpl w:val="B36CE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46922"/>
    <w:multiLevelType w:val="multilevel"/>
    <w:tmpl w:val="2862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850EA"/>
    <w:multiLevelType w:val="multilevel"/>
    <w:tmpl w:val="C5B0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CE"/>
    <w:rsid w:val="000A5C43"/>
    <w:rsid w:val="001D7FD8"/>
    <w:rsid w:val="006B7F41"/>
    <w:rsid w:val="009C05D9"/>
    <w:rsid w:val="00F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paragraph" w:styleId="1">
    <w:name w:val="heading 1"/>
    <w:basedOn w:val="a"/>
    <w:link w:val="10"/>
    <w:uiPriority w:val="9"/>
    <w:qFormat/>
    <w:rsid w:val="00F803C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F803C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link w:val="40"/>
    <w:uiPriority w:val="9"/>
    <w:qFormat/>
    <w:rsid w:val="00F803C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80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F803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כותרת 4 תו"/>
    <w:basedOn w:val="a0"/>
    <w:link w:val="4"/>
    <w:uiPriority w:val="9"/>
    <w:rsid w:val="00F803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803CE"/>
  </w:style>
  <w:style w:type="paragraph" w:styleId="a3">
    <w:name w:val="Body Text Indent"/>
    <w:basedOn w:val="a"/>
    <w:link w:val="a4"/>
    <w:uiPriority w:val="99"/>
    <w:semiHidden/>
    <w:unhideWhenUsed/>
    <w:rsid w:val="00F803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כניסה בגוף טקסט תו"/>
    <w:basedOn w:val="a0"/>
    <w:link w:val="a3"/>
    <w:uiPriority w:val="99"/>
    <w:semiHidden/>
    <w:rsid w:val="00F803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803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גוף טקסט תו"/>
    <w:basedOn w:val="a0"/>
    <w:link w:val="a5"/>
    <w:uiPriority w:val="99"/>
    <w:semiHidden/>
    <w:rsid w:val="00F803C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803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גוף טקסט 2 תו"/>
    <w:basedOn w:val="a0"/>
    <w:link w:val="21"/>
    <w:uiPriority w:val="99"/>
    <w:semiHidden/>
    <w:rsid w:val="00F803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80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paragraph" w:styleId="1">
    <w:name w:val="heading 1"/>
    <w:basedOn w:val="a"/>
    <w:link w:val="10"/>
    <w:uiPriority w:val="9"/>
    <w:qFormat/>
    <w:rsid w:val="00F803C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F803C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link w:val="40"/>
    <w:uiPriority w:val="9"/>
    <w:qFormat/>
    <w:rsid w:val="00F803C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80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F803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כותרת 4 תו"/>
    <w:basedOn w:val="a0"/>
    <w:link w:val="4"/>
    <w:uiPriority w:val="9"/>
    <w:rsid w:val="00F803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803CE"/>
  </w:style>
  <w:style w:type="paragraph" w:styleId="a3">
    <w:name w:val="Body Text Indent"/>
    <w:basedOn w:val="a"/>
    <w:link w:val="a4"/>
    <w:uiPriority w:val="99"/>
    <w:semiHidden/>
    <w:unhideWhenUsed/>
    <w:rsid w:val="00F803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כניסה בגוף טקסט תו"/>
    <w:basedOn w:val="a0"/>
    <w:link w:val="a3"/>
    <w:uiPriority w:val="99"/>
    <w:semiHidden/>
    <w:rsid w:val="00F803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803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גוף טקסט תו"/>
    <w:basedOn w:val="a0"/>
    <w:link w:val="a5"/>
    <w:uiPriority w:val="99"/>
    <w:semiHidden/>
    <w:rsid w:val="00F803C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803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גוף טקסט 2 תו"/>
    <w:basedOn w:val="a0"/>
    <w:link w:val="21"/>
    <w:uiPriority w:val="99"/>
    <w:semiHidden/>
    <w:rsid w:val="00F803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80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מורה</dc:creator>
  <cp:lastModifiedBy>מורה</cp:lastModifiedBy>
  <cp:revision>3</cp:revision>
  <cp:lastPrinted>2017-02-02T08:46:00Z</cp:lastPrinted>
  <dcterms:created xsi:type="dcterms:W3CDTF">2017-02-02T08:29:00Z</dcterms:created>
  <dcterms:modified xsi:type="dcterms:W3CDTF">2017-02-02T08:46:00Z</dcterms:modified>
</cp:coreProperties>
</file>