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15" w:rsidRPr="007A6F15" w:rsidRDefault="007A6F15" w:rsidP="007A6F15">
      <w:pPr>
        <w:spacing w:after="0" w:line="380" w:lineRule="atLeast"/>
        <w:rPr>
          <w:rFonts w:ascii="Times New Roman" w:eastAsia="Times New Roman" w:hAnsi="Times New Roman" w:cs="Times New Roman"/>
          <w:sz w:val="24"/>
          <w:szCs w:val="24"/>
        </w:rPr>
      </w:pPr>
      <w:r w:rsidRPr="007A6F15">
        <w:rPr>
          <w:rFonts w:ascii="Arial" w:eastAsia="Times New Roman" w:hAnsi="Arial" w:cs="Arial"/>
          <w:b/>
          <w:bCs/>
          <w:color w:val="800080"/>
          <w:sz w:val="24"/>
          <w:szCs w:val="24"/>
          <w:rtl/>
        </w:rPr>
        <w:t>דון קישוט כדמות קומית ע"פ הנרי ברגסון.</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b/>
          <w:bCs/>
          <w:color w:val="800080"/>
          <w:sz w:val="24"/>
          <w:szCs w:val="24"/>
          <w:rtl/>
        </w:rPr>
        <w:t>יישום התיאוריה של ברגסון</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b/>
          <w:bCs/>
          <w:color w:val="800080"/>
          <w:sz w:val="24"/>
          <w:szCs w:val="24"/>
          <w:rtl/>
        </w:rPr>
        <w:t>ע"פ פרקים א', ח', ב"דון קישוט" \ סרוונטס</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לאה גרפינקל</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b/>
          <w:bCs/>
          <w:color w:val="800080"/>
          <w:sz w:val="24"/>
          <w:szCs w:val="24"/>
          <w:rtl/>
        </w:rPr>
        <w:t>דון קישוט הוא דמות קומית</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דון קישוט הוא דמות קומית -  הוא איננו דמות הומוריסטית, שכן כפי שמסביר ניגר בספרו: "שלום עליכם" (ביבליוגרפיה 2): </w:t>
      </w:r>
      <w:r w:rsidRPr="007A6F15">
        <w:rPr>
          <w:rFonts w:ascii="Arial" w:eastAsia="Times New Roman" w:hAnsi="Arial" w:cs="Arial"/>
          <w:color w:val="800080"/>
          <w:sz w:val="24"/>
          <w:szCs w:val="24"/>
          <w:rtl/>
        </w:rPr>
        <w:t>"הדמות הקומית משמשת נושא לצחוק - הומוריסטית היא עצמה צוחקת"</w:t>
      </w:r>
      <w:r w:rsidRPr="007A6F15">
        <w:rPr>
          <w:rFonts w:ascii="Arial" w:eastAsia="Times New Roman" w:hAnsi="Arial" w:cs="Arial"/>
          <w:sz w:val="24"/>
          <w:szCs w:val="24"/>
          <w:rtl/>
        </w:rPr>
        <w:t>. ואכן </w:t>
      </w:r>
      <w:r w:rsidRPr="007A6F15">
        <w:rPr>
          <w:rFonts w:ascii="Arial" w:eastAsia="Times New Roman" w:hAnsi="Arial" w:cs="Arial"/>
          <w:color w:val="800080"/>
          <w:sz w:val="24"/>
          <w:szCs w:val="24"/>
          <w:rtl/>
        </w:rPr>
        <w:t>דון קישוט לעולם אינו צוחק- נהפוך הוא: הוא לוקח את עצמו ברצינות תהומית – אלא שרצינות זו איננה בשום פנים באופן נחלת קוראיו- אלה נמצאים ממש בקוטב הנגדי, וכל הסיטואציות שלתוכן מתגלגל גיבורנו תהיינה עבורו הנמצא </w:t>
      </w:r>
      <w:r w:rsidRPr="007A6F15">
        <w:rPr>
          <w:rFonts w:ascii="Arial" w:eastAsia="Times New Roman" w:hAnsi="Arial" w:cs="Arial"/>
          <w:color w:val="800080"/>
          <w:sz w:val="24"/>
          <w:szCs w:val="24"/>
          <w:u w:val="single"/>
          <w:rtl/>
        </w:rPr>
        <w:t>בתוכן</w:t>
      </w:r>
      <w:r w:rsidRPr="007A6F15">
        <w:rPr>
          <w:rFonts w:ascii="Arial" w:eastAsia="Times New Roman" w:hAnsi="Arial" w:cs="Arial"/>
          <w:color w:val="800080"/>
          <w:sz w:val="24"/>
          <w:szCs w:val="24"/>
          <w:rtl/>
        </w:rPr>
        <w:t>- סיטואציות הרואיות הרות גורל ועבורנו הנמצאים ממרחק: סיטואציות מגוחכות ומשעשעות.</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המרחק, אם- כן בינינו לבין הגיבור הוא אחד התורמים העיקריים ליצירת הקומי, ואמנם אצל ברגסון (ביבליוגרפיה 1) למדנו, כי את המגוחך נבקש </w:t>
      </w:r>
      <w:r w:rsidRPr="007A6F15">
        <w:rPr>
          <w:rFonts w:ascii="Arial" w:eastAsia="Times New Roman" w:hAnsi="Arial" w:cs="Arial"/>
          <w:sz w:val="24"/>
          <w:szCs w:val="24"/>
          <w:u w:val="single"/>
          <w:rtl/>
        </w:rPr>
        <w:t>בזולתנו</w:t>
      </w:r>
      <w:r w:rsidRPr="007A6F15">
        <w:rPr>
          <w:rFonts w:ascii="Arial" w:eastAsia="Times New Roman" w:hAnsi="Arial" w:cs="Arial"/>
          <w:sz w:val="24"/>
          <w:szCs w:val="24"/>
          <w:rtl/>
        </w:rPr>
        <w:t> ולא בנו עצמנו. אנו, כאמור, ניצבים בקוטב הנגדי לזה שמצוי בו דון קישוט- לא ייתכן שנדרוך יחד אתו באותה הטריטוריה! ויתרה מכך: הקוטב הזה אינו רק נגדי לדון קישוט הוא אפילו מעליו! שהרי אנו נצחק לנחות מאתנו, ורק כאשר </w:t>
      </w:r>
      <w:r w:rsidRPr="007A6F15">
        <w:rPr>
          <w:rFonts w:ascii="Arial" w:eastAsia="Times New Roman" w:hAnsi="Arial" w:cs="Arial"/>
          <w:sz w:val="24"/>
          <w:szCs w:val="24"/>
          <w:u w:val="single"/>
          <w:rtl/>
        </w:rPr>
        <w:t>נתקרב</w:t>
      </w:r>
      <w:r w:rsidRPr="007A6F15">
        <w:rPr>
          <w:rFonts w:ascii="Arial" w:eastAsia="Times New Roman" w:hAnsi="Arial" w:cs="Arial"/>
          <w:sz w:val="24"/>
          <w:szCs w:val="24"/>
          <w:rtl/>
        </w:rPr>
        <w:t> לדון קישוט נוכל להבחין בטראגיות העמוקה שבו. הקרבה אם- כן מאפשרת את האבחנה הטראגית, והמרחק- את זו הקומית.</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עיקר המאמר יעסוק באבחנה הקומית ומיעוטו באבחנה הטראגית. (הדוגמאות תובאנה מתוך פרקים א' ח').</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Times New Roman" w:eastAsia="Times New Roman" w:hAnsi="Times New Roman" w:cs="Times New Roman"/>
          <w:sz w:val="24"/>
          <w:szCs w:val="24"/>
          <w:rtl/>
        </w:rPr>
        <w:t>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b/>
          <w:bCs/>
          <w:color w:val="800080"/>
          <w:sz w:val="24"/>
          <w:szCs w:val="24"/>
          <w:rtl/>
        </w:rPr>
        <w:t>פרק א'</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"במקום אחד בלה מאנצ'ה, שבשמו איני רוצה להיזכר, חי לפני זמן לא רב הידאלגו מהללו המחזיקים חנית בנדנה, מגן עתיק- יומין, סוס כחוש וכלב קל רגליים" (עמוד 31)—הקומי, אומר ברגסון, הוא בדברים </w:t>
      </w:r>
      <w:r w:rsidRPr="007A6F15">
        <w:rPr>
          <w:rFonts w:ascii="Arial" w:eastAsia="Times New Roman" w:hAnsi="Arial" w:cs="Arial"/>
          <w:sz w:val="24"/>
          <w:szCs w:val="24"/>
          <w:u w:val="single"/>
          <w:rtl/>
        </w:rPr>
        <w:t>אנושיים</w:t>
      </w:r>
      <w:r w:rsidRPr="007A6F15">
        <w:rPr>
          <w:rFonts w:ascii="Arial" w:eastAsia="Times New Roman" w:hAnsi="Arial" w:cs="Arial"/>
          <w:sz w:val="24"/>
          <w:szCs w:val="24"/>
          <w:rtl/>
        </w:rPr>
        <w:t>. לא הסוס הכחוש או הכלב קל הרגליים הם המעוררים את צחוקנו, אלא העובדה שאלה שניים הם בבעלותו של ההידאלגו (הידאלגו=אביר) כאן מצוי הפער בין המצופה למצוי: להידאלגו שלנו יש "מגן עתיק יומין." לרגע קט הוא מעורר בנו את התמונה של אביר ששושלת ארוכה מאחוריו.ובתור שכזה נצפה שיהיה  בעליו של סוס חסון ומהיר, אבל בבעלותו: "סוס כחוש..." כלומר: סמל המעמד שלו שאמור להקביל נניח לרולס- רויס המודרני אינו אלא קורקינט עלוב... גם המעדנים העולים על שולחנו, מלתחת הבגדים שלו ומשק ביתו הכולל הם בהתאם... ואם לא די בכל איכזובי הציפיות שהזכרנו, הנה בה עוד פרט בפסקת הפתיחה: "ההידאלגו שלנו היה כבן 50". ראשית: המילה "</w:t>
      </w:r>
      <w:r w:rsidRPr="007A6F15">
        <w:rPr>
          <w:rFonts w:ascii="Arial" w:eastAsia="Times New Roman" w:hAnsi="Arial" w:cs="Arial"/>
          <w:sz w:val="24"/>
          <w:szCs w:val="24"/>
          <w:u w:val="single"/>
          <w:rtl/>
        </w:rPr>
        <w:t>שלנו"</w:t>
      </w:r>
      <w:r w:rsidRPr="007A6F15">
        <w:rPr>
          <w:rFonts w:ascii="Arial" w:eastAsia="Times New Roman" w:hAnsi="Arial" w:cs="Arial"/>
          <w:sz w:val="24"/>
          <w:szCs w:val="24"/>
          <w:rtl/>
        </w:rPr>
        <w:t> – כינוי שייכות זה מעמיד אותנו הקוראים בנקודת </w:t>
      </w:r>
      <w:r w:rsidRPr="007A6F15">
        <w:rPr>
          <w:rFonts w:ascii="Arial" w:eastAsia="Times New Roman" w:hAnsi="Arial" w:cs="Arial"/>
          <w:sz w:val="24"/>
          <w:szCs w:val="24"/>
          <w:u w:val="single"/>
          <w:rtl/>
        </w:rPr>
        <w:t>על</w:t>
      </w:r>
      <w:r w:rsidRPr="007A6F15">
        <w:rPr>
          <w:rFonts w:ascii="Arial" w:eastAsia="Times New Roman" w:hAnsi="Arial" w:cs="Arial"/>
          <w:sz w:val="24"/>
          <w:szCs w:val="24"/>
          <w:rtl/>
        </w:rPr>
        <w:t> ביחס לגיבור, שנית אותה נקודת על היא המאפשרת לנו לצחוק לגיבור- לגיבור שאמור להיות חזק וחסון אבל הוא בן: חמישים... קשיש, "דל בשר, צנום פנים" מזכיר לא אחרת מאשר את סוסו הכחוש...</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lastRenderedPageBreak/>
        <w:t>גם הפסקה השניה נפתחת בציפייה ובשבירתה: "יש לדעת איפה כי ההידאלגו הנזכר לעיל נטה לקרוא בעיתות הבטלה- כלומר, רוב ימות השנה- ספרי אבירים בהנאה ובלהיטות שכאלה עד שכמעט ושכח לעסוק בצייד ואף לנהל את משקו" (עמוד 31).</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עיתות הבטלה הן מטיבן המיעוט, אך מתי הן עיתות אלה? "ברוב ימות השנה"...</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בפסקה הקודמת נזכרת תכונה "אבירית" אחת ויחידה של דון קישוט, הוא היה "אוהב צייד" – אבל הנה אפילו עיסוק "מיוחס" זה נשכח ממנו בעקבות ההתמכרות לקריאת ספרות האבירים.</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האשם העיקרי איפה בקומי ובטראגי של דון קישוט הוא ההתמכרות לקריאת הספרות הזו. ספרות האבירים שיבשה קליל את דעתו, היא שיבשה את דעתו משום שהבדיון שבה פלש אל תוך חייו ולא הותיר בם ולו פיסת מציאות אחת. "בקצרה, כה שקע בספריו עד כי עברו עליו לילותיו בקריאה משקיעת השמש עד הנץ החמה וימיו מזריחה עד דמדומי הערב, ובגין השינה המועטת והקריאה המרובה נשתבש שכלו ונטרפה דעתו. דמיונו מלא מכל אשר קרה: כישופים וגם תגרות, קרבות, קטטות, פציעות, חיזורים, אהבות, סערות ומיני הבלים שלא יתכנו, וכה נאחזו הללו ברוחו עד כי סבר כי מנגנון ההמצאות הבדויות והמפורסמות שקרא אמיתי הוא" (עמוד 32). זהו אם- כן </w:t>
      </w:r>
      <w:r w:rsidRPr="007A6F15">
        <w:rPr>
          <w:rFonts w:ascii="Arial" w:eastAsia="Times New Roman" w:hAnsi="Arial" w:cs="Arial"/>
          <w:sz w:val="24"/>
          <w:szCs w:val="24"/>
          <w:u w:val="single"/>
          <w:rtl/>
        </w:rPr>
        <w:t>הטירוף.</w:t>
      </w:r>
      <w:r w:rsidRPr="007A6F15">
        <w:rPr>
          <w:rFonts w:ascii="Arial" w:eastAsia="Times New Roman" w:hAnsi="Arial" w:cs="Arial"/>
          <w:sz w:val="24"/>
          <w:szCs w:val="24"/>
          <w:rtl/>
        </w:rPr>
        <w:t> אין כמו המטורף המשמש בעת ובעונה אחת מושא הן לצחוקנו והן לבכיינו. כאשר ההקשר הוא טראגי כמו לדוגמא ב: "סיפור פשוט" לעגנון – ירחם הקורא על הירשל המאבד את שפיותו ביער ויסכים עם רופאו ד"ר לנגזם </w:t>
      </w:r>
      <w:r w:rsidRPr="007A6F15">
        <w:rPr>
          <w:rFonts w:ascii="Arial" w:eastAsia="Times New Roman" w:hAnsi="Arial" w:cs="Arial"/>
          <w:sz w:val="24"/>
          <w:szCs w:val="24"/>
          <w:u w:val="single"/>
          <w:rtl/>
        </w:rPr>
        <w:t>האוסר</w:t>
      </w:r>
      <w:r w:rsidRPr="007A6F15">
        <w:rPr>
          <w:rFonts w:ascii="Arial" w:eastAsia="Times New Roman" w:hAnsi="Arial" w:cs="Arial"/>
          <w:sz w:val="24"/>
          <w:szCs w:val="24"/>
          <w:rtl/>
        </w:rPr>
        <w:t> עליו קריאת ספרים. הקוראים ירחמו על הירשל משום שרבים מהם היו אי פעם בחייהם מאוהבים נואשות. אצל דון קישוט כמעט ולא יתעוררו רחמינו משום שאיש מאתנו לא מכר את כל משק ביתו למען קריאת ספרים חסרי ערך. אנחנו בשום פנים ואופן לא כמו דון קישוט- אנחנו מעליו! (או לפחות כך אנו מאמינים...)</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אישיותו של דון קישוט אינה מרגשת אותנו והואיל והקומי כפי שמסביר ברגסון, אינו דר בכפיפה אחת עם הרגש נגיב ביחס אל גיבורנו זה בדרך כלל בצחוק ולא בדמע.</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עולם הבדיון כאמור, השתלט לחלוטין על דון קישוט והוא הפך לראשית ולתכלית הכל. את עולם הבדיון הזה יצא דון קישוט להשליט על העולם המציאותי. ולהלן ההכנות שעשה לקראת מסעו זה, "המסע האבירי:"</w:t>
      </w:r>
    </w:p>
    <w:p w:rsidR="007A6F15" w:rsidRPr="007A6F15" w:rsidRDefault="007A6F15" w:rsidP="007A6F15">
      <w:pPr>
        <w:spacing w:after="0" w:line="380" w:lineRule="atLeast"/>
        <w:ind w:left="720" w:hanging="360"/>
        <w:rPr>
          <w:rFonts w:ascii="Times New Roman" w:eastAsia="Times New Roman" w:hAnsi="Times New Roman" w:cs="Times New Roman"/>
          <w:sz w:val="24"/>
          <w:szCs w:val="24"/>
          <w:rtl/>
        </w:rPr>
      </w:pPr>
      <w:r w:rsidRPr="007A6F15">
        <w:rPr>
          <w:rFonts w:ascii="Arial" w:eastAsia="Times New Roman" w:hAnsi="Arial" w:cs="Arial"/>
          <w:sz w:val="24"/>
          <w:szCs w:val="24"/>
          <w:rtl/>
        </w:rPr>
        <w:t>א.</w:t>
      </w:r>
      <w:r w:rsidRPr="007A6F15">
        <w:rPr>
          <w:rFonts w:ascii="Times New Roman" w:eastAsia="Times New Roman" w:hAnsi="Times New Roman" w:cs="Times New Roman"/>
          <w:sz w:val="14"/>
          <w:szCs w:val="14"/>
          <w:rtl/>
        </w:rPr>
        <w:t>      </w:t>
      </w:r>
      <w:r w:rsidRPr="007A6F15">
        <w:rPr>
          <w:rFonts w:ascii="Arial" w:eastAsia="Times New Roman" w:hAnsi="Arial" w:cs="Arial"/>
          <w:sz w:val="24"/>
          <w:szCs w:val="24"/>
          <w:rtl/>
        </w:rPr>
        <w:t>ניקה כלי נשק ישנים</w:t>
      </w:r>
    </w:p>
    <w:p w:rsidR="007A6F15" w:rsidRPr="007A6F15" w:rsidRDefault="007A6F15" w:rsidP="007A6F15">
      <w:pPr>
        <w:spacing w:after="0" w:line="380" w:lineRule="atLeast"/>
        <w:ind w:left="720" w:hanging="360"/>
        <w:rPr>
          <w:rFonts w:ascii="Times New Roman" w:eastAsia="Times New Roman" w:hAnsi="Times New Roman" w:cs="Times New Roman"/>
          <w:sz w:val="24"/>
          <w:szCs w:val="24"/>
          <w:rtl/>
        </w:rPr>
      </w:pPr>
      <w:r w:rsidRPr="007A6F15">
        <w:rPr>
          <w:rFonts w:ascii="Arial" w:eastAsia="Times New Roman" w:hAnsi="Arial" w:cs="Arial"/>
          <w:sz w:val="24"/>
          <w:szCs w:val="24"/>
          <w:rtl/>
        </w:rPr>
        <w:t>ב.</w:t>
      </w:r>
      <w:r w:rsidRPr="007A6F15">
        <w:rPr>
          <w:rFonts w:ascii="Times New Roman" w:eastAsia="Times New Roman" w:hAnsi="Times New Roman" w:cs="Times New Roman"/>
          <w:sz w:val="14"/>
          <w:szCs w:val="14"/>
          <w:rtl/>
        </w:rPr>
        <w:t>      </w:t>
      </w:r>
      <w:r w:rsidRPr="007A6F15">
        <w:rPr>
          <w:rFonts w:ascii="Arial" w:eastAsia="Times New Roman" w:hAnsi="Arial" w:cs="Arial"/>
          <w:sz w:val="24"/>
          <w:szCs w:val="24"/>
          <w:rtl/>
        </w:rPr>
        <w:t>התקין לעצמו מלוחות קרטון כובע</w:t>
      </w:r>
    </w:p>
    <w:p w:rsidR="007A6F15" w:rsidRPr="007A6F15" w:rsidRDefault="007A6F15" w:rsidP="007A6F15">
      <w:pPr>
        <w:spacing w:after="0" w:line="380" w:lineRule="atLeast"/>
        <w:ind w:left="720" w:hanging="360"/>
        <w:rPr>
          <w:rFonts w:ascii="Times New Roman" w:eastAsia="Times New Roman" w:hAnsi="Times New Roman" w:cs="Times New Roman"/>
          <w:sz w:val="24"/>
          <w:szCs w:val="24"/>
          <w:rtl/>
        </w:rPr>
      </w:pPr>
      <w:r w:rsidRPr="007A6F15">
        <w:rPr>
          <w:rFonts w:ascii="Arial" w:eastAsia="Times New Roman" w:hAnsi="Arial" w:cs="Arial"/>
          <w:sz w:val="24"/>
          <w:szCs w:val="24"/>
          <w:rtl/>
        </w:rPr>
        <w:t>ג.</w:t>
      </w:r>
      <w:r w:rsidRPr="007A6F15">
        <w:rPr>
          <w:rFonts w:ascii="Times New Roman" w:eastAsia="Times New Roman" w:hAnsi="Times New Roman" w:cs="Times New Roman"/>
          <w:sz w:val="14"/>
          <w:szCs w:val="14"/>
          <w:rtl/>
        </w:rPr>
        <w:t>       </w:t>
      </w:r>
      <w:r w:rsidRPr="007A6F15">
        <w:rPr>
          <w:rFonts w:ascii="Arial" w:eastAsia="Times New Roman" w:hAnsi="Arial" w:cs="Arial"/>
          <w:sz w:val="24"/>
          <w:szCs w:val="24"/>
          <w:rtl/>
        </w:rPr>
        <w:t>בדק את סוסו והתלבט במציאת שם מתאים</w:t>
      </w:r>
    </w:p>
    <w:p w:rsidR="007A6F15" w:rsidRPr="007A6F15" w:rsidRDefault="007A6F15" w:rsidP="007A6F15">
      <w:pPr>
        <w:spacing w:after="0" w:line="380" w:lineRule="atLeast"/>
        <w:ind w:left="720" w:hanging="360"/>
        <w:rPr>
          <w:rFonts w:ascii="Times New Roman" w:eastAsia="Times New Roman" w:hAnsi="Times New Roman" w:cs="Times New Roman"/>
          <w:sz w:val="24"/>
          <w:szCs w:val="24"/>
          <w:rtl/>
        </w:rPr>
      </w:pPr>
      <w:r w:rsidRPr="007A6F15">
        <w:rPr>
          <w:rFonts w:ascii="Arial" w:eastAsia="Times New Roman" w:hAnsi="Arial" w:cs="Arial"/>
          <w:sz w:val="24"/>
          <w:szCs w:val="24"/>
          <w:rtl/>
        </w:rPr>
        <w:t>ד.</w:t>
      </w:r>
      <w:r w:rsidRPr="007A6F15">
        <w:rPr>
          <w:rFonts w:ascii="Times New Roman" w:eastAsia="Times New Roman" w:hAnsi="Times New Roman" w:cs="Times New Roman"/>
          <w:sz w:val="14"/>
          <w:szCs w:val="14"/>
          <w:rtl/>
        </w:rPr>
        <w:t>      </w:t>
      </w:r>
      <w:r w:rsidRPr="007A6F15">
        <w:rPr>
          <w:rFonts w:ascii="Arial" w:eastAsia="Times New Roman" w:hAnsi="Arial" w:cs="Arial"/>
          <w:sz w:val="24"/>
          <w:szCs w:val="24"/>
          <w:rtl/>
        </w:rPr>
        <w:t>בחר שם לעצמו.</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Pr>
        <w:t>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 xml:space="preserve">הפעולה הראשונה מוכיחה עד כמה חסר ניסיון ולכן חסר סיכוי הוא המסע העתידי, הפעולה השנייה מוכיחה את התאורייה של ברגסון שהדמות הקומית תראה את הדברים שהיא חושבת עליהם במקום לחשוב על הדברים שהיא רואה. (יסוד זה ידון שוב כשנגיע לפרק ח'), הפעולות השלישית והרביעית מוכיחות את מה שברגסון מכנה "הרדמה רגעית של הלב". </w:t>
      </w:r>
      <w:r w:rsidRPr="007A6F15">
        <w:rPr>
          <w:rFonts w:ascii="Arial" w:eastAsia="Times New Roman" w:hAnsi="Arial" w:cs="Arial"/>
          <w:sz w:val="24"/>
          <w:szCs w:val="24"/>
          <w:rtl/>
        </w:rPr>
        <w:lastRenderedPageBreak/>
        <w:t>הקומי יפנה לשכל ולא לרגש, וכיוון שלקורא ברור שההתעסקות במתן השם לסוס ולרוכבו היא התעסקות מטומטמת – הוא יצחק.</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בתום ארבע פעולות הכנה אלה נותרה אחת אחרונה. נותר רק לשים את הדובדבן בקצפת: למצוא את האהובה! גם זאת נמצאה ללא קושי: האיכרה המתגוררת לידו זכתה מבלי שתדע להיות לגבירתו ולקבל שם שיהלום את מעמדה החדש: דולסינאה הטובוסית!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b/>
          <w:bCs/>
          <w:color w:val="800080"/>
          <w:sz w:val="24"/>
          <w:szCs w:val="24"/>
          <w:rtl/>
        </w:rPr>
        <w:t>פרק ח'</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אחת מתחנות השיא במסעו של דון קישוט היא המפגש עם טחנות הרוח. סנשו פנשו נושא הכלים עושה כמיטב יכולתו להעמיד את דון קישוט על טעותו: "יראה- נא, כבודו – ענה סנשו- אלה שנראים שם הם לא ענקים, אלא טחנות רוח, ואלה שנראות כמו זרועות הן פשוט הכנפיים שמסתובבות ברוח ומניעות את האבן הטוחנת" (עמוד 64) דון קישוט כמובן איננו משתכנע- מאחר שהעולם בו הוא שרוי הוא כה הפוך לזה שסנשו פנשו נמצא בו, הוא אפילו אינו משקיע מאמץ בשכנוע והוא יוצא בעזרת סוסו למאבק הנועז. ברגע זה, נוכל להרשות לגיבורנו רגע של חסד: יש להודות שדון קישוט הוא אמיץ ונחוש. ביודעין, הוא לוקח את כל המאמץ על כתפיו ומשחרר את סנשו פנשו לתפילה. יש בו אם- כן צדדים אמיתיים של גבורה אינדיבידואלית מעוררת הערצה. ברגע שנתעכב על פן זה שבאישיותו נרחם ולא נצחק. כך למדנו אצל ברגסון: הקומדיה שואפת אל הכללי ואילו הטרגדיה עוסקת באישיות יחידה </w:t>
      </w:r>
      <w:r w:rsidRPr="007A6F15">
        <w:rPr>
          <w:rFonts w:ascii="Arial" w:eastAsia="Times New Roman" w:hAnsi="Arial" w:cs="Arial"/>
          <w:sz w:val="24"/>
          <w:szCs w:val="24"/>
          <w:u w:val="single"/>
          <w:rtl/>
        </w:rPr>
        <w:t>במינה</w:t>
      </w:r>
      <w:r w:rsidRPr="007A6F15">
        <w:rPr>
          <w:rFonts w:ascii="Arial" w:eastAsia="Times New Roman" w:hAnsi="Arial" w:cs="Arial"/>
          <w:sz w:val="24"/>
          <w:szCs w:val="24"/>
          <w:rtl/>
        </w:rPr>
        <w:t>: "-אל תנוסו, בריות פחדניות ושפלות, כי אביר אחד ויחיד הוא המסתער" (עמוד 64).</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כמובן, שלא נוכל להתעכב לאורך זמן בתחום הרגש, משום שאנו ה "נבונים" יודעים, שהמאבק הוא בטחנות רוח ולא בענקים חורשי רעה. טיפשותו של הגיבור, עולה על גבורתו ומסלקת את הרחמים לטובת הגיחוך. טיפשות זו תופסת תאוצה ב: "קרב" המתנהל בין דון קישוט לטחנות הרוח. קרב שסופו היה ידוע מראש: דון קישוט וסוסו מתגלגלים פצועים בשדה...</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u w:val="single"/>
          <w:rtl/>
        </w:rPr>
        <w:t>אבל:</w:t>
      </w:r>
      <w:r w:rsidRPr="007A6F15">
        <w:rPr>
          <w:rFonts w:ascii="Arial" w:eastAsia="Times New Roman" w:hAnsi="Arial" w:cs="Arial"/>
          <w:sz w:val="24"/>
          <w:szCs w:val="24"/>
          <w:rtl/>
        </w:rPr>
        <w:t> גם המציאות הכואבת אינה משכנעת את גיבורנו והוא על אף היותו חבול ופצוע אינו מתלונן ועוד ממשיך לחפש מעשה גבורה... הכל כדי: "לנהוג ברוח מה שקרא בספריו" (עמוד 66)</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אחת מאבני היסוד של האבירות הוא היחס המגונן לאישה, ולכן כשנקרתה על דרכו של דון קישוט הגבירה במחוז ויסקאיה הוא הבין שעליו להצילה מידי שני הנזירים שרכבו לפניה על שתי פרידות גדולות. למותר לציין, שלנזירים אלה לא היה שום קשר עם הגבירה...</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תבנית טחנות הרוח חוזרת על עצמה: אלה הם האוטומטיזם והנוקשות שברגסון רואה בם תורמים חשובים לקומי, וזהו הסברו: שבירת חד פעמיותם של החיים שהם גמישים ומשתנים מטיבם, היא אחד מאכזובי הציפיות המחזקים את ההקשר הקומי בו הם מצויים. דומה הדבר לבובה ממונעת הנתקלת בקיר...</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lastRenderedPageBreak/>
        <w:t>הנזירים הלבושים שחור, הם בעיני דון קישוט מכשפים ששבו נסיכה. תמונה זו היא הרי כל כך מתאימה לספרות האבירים! – מה הם בכלל סיכוייה של המציאות לשנותה?!</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שוב ממשיך דון קישוט </w:t>
      </w:r>
      <w:r w:rsidRPr="007A6F15">
        <w:rPr>
          <w:rFonts w:ascii="Arial" w:eastAsia="Times New Roman" w:hAnsi="Arial" w:cs="Arial"/>
          <w:sz w:val="24"/>
          <w:szCs w:val="24"/>
          <w:u w:val="single"/>
          <w:rtl/>
        </w:rPr>
        <w:t>לבד</w:t>
      </w:r>
      <w:r w:rsidRPr="007A6F15">
        <w:rPr>
          <w:rFonts w:ascii="Arial" w:eastAsia="Times New Roman" w:hAnsi="Arial" w:cs="Arial"/>
          <w:sz w:val="24"/>
          <w:szCs w:val="24"/>
          <w:rtl/>
        </w:rPr>
        <w:t> במלחמתו ההירואית והמסוכנת ושוב נעצר הקורא לרגע ו... נאנח. אלא שיש להדגיש: האנחה היא לרגע קט בלבד...</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Times New Roman" w:eastAsia="Times New Roman" w:hAnsi="Times New Roman" w:cs="Times New Roman"/>
          <w:sz w:val="24"/>
          <w:szCs w:val="24"/>
          <w:rtl/>
        </w:rPr>
        <w:t>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b/>
          <w:bCs/>
          <w:color w:val="800080"/>
          <w:sz w:val="24"/>
          <w:szCs w:val="24"/>
          <w:rtl/>
        </w:rPr>
        <w:t>לסיום</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האנחה היא לרגע קט בלבד כי: "מה חבל שברגע זה ממש הפסיק מחברו של סיפור זה את תיאור הקרב והתנצל על שלא מצא עוד מקורות בכתב על מעלליו אלה של דון קיחוטה, לבד ממה שהוזכר" (עמוד 70).</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b/>
          <w:bCs/>
          <w:color w:val="800080"/>
          <w:sz w:val="24"/>
          <w:szCs w:val="24"/>
          <w:rtl/>
        </w:rPr>
        <w:t>ביבליוגרפיה</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 </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סרוונטס, מ; </w:t>
      </w:r>
      <w:r w:rsidRPr="007A6F15">
        <w:rPr>
          <w:rFonts w:ascii="Arial" w:eastAsia="Times New Roman" w:hAnsi="Arial" w:cs="Arial"/>
          <w:b/>
          <w:bCs/>
          <w:sz w:val="24"/>
          <w:szCs w:val="24"/>
          <w:rtl/>
        </w:rPr>
        <w:t>דון קישוט,</w:t>
      </w:r>
      <w:r w:rsidRPr="007A6F15">
        <w:rPr>
          <w:rFonts w:ascii="Arial" w:eastAsia="Times New Roman" w:hAnsi="Arial" w:cs="Arial"/>
          <w:sz w:val="24"/>
          <w:szCs w:val="24"/>
          <w:rtl/>
        </w:rPr>
        <w:t> הוצאת הקיבוץ המאוחד, 1994.</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1. ברגסון, ה; </w:t>
      </w:r>
      <w:r w:rsidRPr="007A6F15">
        <w:rPr>
          <w:rFonts w:ascii="Arial" w:eastAsia="Times New Roman" w:hAnsi="Arial" w:cs="Arial"/>
          <w:b/>
          <w:bCs/>
          <w:sz w:val="24"/>
          <w:szCs w:val="24"/>
          <w:rtl/>
        </w:rPr>
        <w:t>הצחוק</w:t>
      </w:r>
      <w:r w:rsidRPr="007A6F15">
        <w:rPr>
          <w:rFonts w:ascii="Arial" w:eastAsia="Times New Roman" w:hAnsi="Arial" w:cs="Arial"/>
          <w:sz w:val="24"/>
          <w:szCs w:val="24"/>
          <w:rtl/>
        </w:rPr>
        <w:t>, הוצאת ראובן מס, ירושלים, 1998.</w:t>
      </w:r>
    </w:p>
    <w:p w:rsidR="007A6F15" w:rsidRPr="007A6F15" w:rsidRDefault="007A6F15" w:rsidP="007A6F15">
      <w:pPr>
        <w:spacing w:after="0" w:line="380" w:lineRule="atLeast"/>
        <w:rPr>
          <w:rFonts w:ascii="Times New Roman" w:eastAsia="Times New Roman" w:hAnsi="Times New Roman" w:cs="Times New Roman"/>
          <w:sz w:val="24"/>
          <w:szCs w:val="24"/>
          <w:rtl/>
        </w:rPr>
      </w:pPr>
      <w:r w:rsidRPr="007A6F15">
        <w:rPr>
          <w:rFonts w:ascii="Arial" w:eastAsia="Times New Roman" w:hAnsi="Arial" w:cs="Arial"/>
          <w:sz w:val="24"/>
          <w:szCs w:val="24"/>
          <w:rtl/>
        </w:rPr>
        <w:t>2.  ניגר, ש; </w:t>
      </w:r>
      <w:r w:rsidRPr="007A6F15">
        <w:rPr>
          <w:rFonts w:ascii="Arial" w:eastAsia="Times New Roman" w:hAnsi="Arial" w:cs="Arial"/>
          <w:b/>
          <w:bCs/>
          <w:sz w:val="24"/>
          <w:szCs w:val="24"/>
          <w:rtl/>
        </w:rPr>
        <w:t>שלום עליכם,</w:t>
      </w:r>
      <w:r w:rsidRPr="007A6F15">
        <w:rPr>
          <w:rFonts w:ascii="Arial" w:eastAsia="Times New Roman" w:hAnsi="Arial" w:cs="Arial"/>
          <w:sz w:val="24"/>
          <w:szCs w:val="24"/>
          <w:rtl/>
        </w:rPr>
        <w:t> הקיבוץ המאוחד, תשך</w:t>
      </w:r>
    </w:p>
    <w:p w:rsidR="007A6F15" w:rsidRPr="007A6F15" w:rsidRDefault="007A6F15" w:rsidP="007A6F15">
      <w:pPr>
        <w:spacing w:after="0" w:line="240" w:lineRule="auto"/>
        <w:rPr>
          <w:rFonts w:ascii="Times New Roman" w:eastAsia="Times New Roman" w:hAnsi="Times New Roman" w:cs="Times New Roman"/>
          <w:sz w:val="24"/>
          <w:szCs w:val="24"/>
          <w:rtl/>
        </w:rPr>
      </w:pPr>
      <w:r w:rsidRPr="007A6F15">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7A6F15" w:rsidRPr="007A6F15" w:rsidTr="007A6F15">
        <w:trPr>
          <w:tblCellSpacing w:w="0" w:type="dxa"/>
        </w:trPr>
        <w:tc>
          <w:tcPr>
            <w:tcW w:w="0" w:type="auto"/>
            <w:vAlign w:val="center"/>
            <w:hideMark/>
          </w:tcPr>
          <w:p w:rsidR="007A6F15" w:rsidRPr="007A6F15" w:rsidRDefault="007A6F15" w:rsidP="007A6F15">
            <w:pPr>
              <w:bidi w:val="0"/>
              <w:spacing w:after="0" w:line="240" w:lineRule="auto"/>
              <w:rPr>
                <w:rFonts w:ascii="Times New Roman" w:eastAsia="Times New Roman" w:hAnsi="Times New Roman" w:cs="Times New Roman"/>
                <w:sz w:val="24"/>
                <w:szCs w:val="24"/>
                <w:rtl/>
              </w:rPr>
            </w:pPr>
          </w:p>
        </w:tc>
      </w:tr>
    </w:tbl>
    <w:p w:rsidR="00C42928" w:rsidRPr="007A6F15" w:rsidRDefault="00C42928">
      <w:bookmarkStart w:id="0" w:name="_GoBack"/>
      <w:bookmarkEnd w:id="0"/>
    </w:p>
    <w:sectPr w:rsidR="00C42928" w:rsidRPr="007A6F15"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15"/>
    <w:rsid w:val="000824F6"/>
    <w:rsid w:val="007A6F15"/>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8368-6D42-4EFC-988E-6A87BE16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2016-09-01T17:01:00Z</dcterms:created>
  <dcterms:modified xsi:type="dcterms:W3CDTF">2016-09-01T17:02:00Z</dcterms:modified>
</cp:coreProperties>
</file>